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2C24" w14:textId="29852C0F" w:rsidR="00CB120C" w:rsidRPr="00084E83" w:rsidRDefault="00883DD8" w:rsidP="00CB120C">
      <w:pPr>
        <w:rPr>
          <w:sz w:val="32"/>
        </w:rPr>
      </w:pPr>
      <w:r w:rsidRPr="00084E83">
        <w:rPr>
          <w:b/>
          <w:bCs/>
          <w:sz w:val="32"/>
        </w:rPr>
        <w:t>XRM</w:t>
      </w:r>
      <w:r w:rsidR="00C47911" w:rsidRPr="00084E83">
        <w:rPr>
          <w:rFonts w:cstheme="minorHAnsi"/>
          <w:b/>
          <w:bCs/>
          <w:sz w:val="32"/>
        </w:rPr>
        <w:t>®</w:t>
      </w:r>
      <w:r w:rsidRPr="00084E83">
        <w:rPr>
          <w:b/>
          <w:bCs/>
          <w:sz w:val="32"/>
        </w:rPr>
        <w:t xml:space="preserve"> Banking</w:t>
      </w:r>
      <w:r w:rsidR="00C47911" w:rsidRPr="00084E83">
        <w:rPr>
          <w:b/>
          <w:bCs/>
          <w:sz w:val="32"/>
        </w:rPr>
        <w:t xml:space="preserve"> by E-consulting Scenario</w:t>
      </w:r>
    </w:p>
    <w:p w14:paraId="23C1589C" w14:textId="77777777" w:rsidR="00CB120C" w:rsidRPr="00084E83" w:rsidRDefault="00CB120C" w:rsidP="00CB120C"/>
    <w:tbl>
      <w:tblPr>
        <w:tblW w:w="10154" w:type="dxa"/>
        <w:tblInd w:w="-8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94"/>
        <w:gridCol w:w="8560"/>
      </w:tblGrid>
      <w:tr w:rsidR="002C11CE" w:rsidRPr="00084E83" w14:paraId="20D443D7" w14:textId="77777777" w:rsidTr="00060BCD">
        <w:trPr>
          <w:trHeight w:val="3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553A8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Primary Persona: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73837" w14:textId="7E9CBD76" w:rsidR="002C11CE" w:rsidRPr="00084E83" w:rsidRDefault="007635B3" w:rsidP="00153F4F">
            <w:pPr>
              <w:spacing w:after="0" w:line="240" w:lineRule="auto"/>
              <w:ind w:left="395"/>
              <w:jc w:val="both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H</w:t>
            </w:r>
            <w:r w:rsidR="00C006B1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ead of </w:t>
            </w:r>
            <w:r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R</w:t>
            </w:r>
            <w:r w:rsidR="00C006B1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etail </w:t>
            </w:r>
            <w:r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B</w:t>
            </w:r>
            <w:r w:rsidR="00C006B1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usiness</w:t>
            </w:r>
            <w:r w:rsidR="00600DB6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&amp; </w:t>
            </w:r>
            <w:r w:rsidR="00600DB6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Head of </w:t>
            </w:r>
            <w:r w:rsidR="00600DB6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Corporate</w:t>
            </w:r>
            <w:r w:rsidR="00600DB6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Business</w:t>
            </w:r>
            <w:r w:rsidR="00600DB6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</w:t>
            </w:r>
            <w:r w:rsidR="00C006B1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in a </w:t>
            </w:r>
            <w:r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B</w:t>
            </w:r>
            <w:r w:rsidR="00C006B1"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ank</w:t>
            </w:r>
          </w:p>
        </w:tc>
      </w:tr>
      <w:tr w:rsidR="006961E1" w:rsidRPr="00084E83" w14:paraId="4875C6EF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8417E" w14:textId="70C64BF8" w:rsidR="006961E1" w:rsidRPr="00084E83" w:rsidRDefault="006961E1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Configuration Settings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7570D1" w14:textId="334E5059" w:rsidR="006961E1" w:rsidRPr="00084E83" w:rsidRDefault="006961E1" w:rsidP="00153F4F">
            <w:pPr>
              <w:ind w:left="395"/>
              <w:rPr>
                <w:sz w:val="20"/>
              </w:rPr>
            </w:pPr>
            <w:r w:rsidRPr="00084E83">
              <w:rPr>
                <w:sz w:val="20"/>
              </w:rPr>
              <w:t>Client: Web Client (Browsers: Chrome, Edge)</w:t>
            </w:r>
          </w:p>
        </w:tc>
      </w:tr>
      <w:tr w:rsidR="002C11CE" w:rsidRPr="00084E83" w14:paraId="63C993AD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3B48E1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Problem / Opportunity Statement: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8F6E0C" w14:textId="47A79870" w:rsidR="007C0E91" w:rsidRPr="00084E83" w:rsidRDefault="007C0E91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Loss of customers </w:t>
            </w:r>
            <w:r w:rsidR="001E44BC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who </w:t>
            </w:r>
            <w:r w:rsidR="008D658D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often use </w:t>
            </w:r>
            <w:r w:rsidR="001E44BC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credit pro</w:t>
            </w:r>
            <w:r w:rsidR="008D658D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d</w:t>
            </w:r>
            <w:r w:rsidR="001E44BC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ucts</w:t>
            </w:r>
          </w:p>
          <w:p w14:paraId="4121EEAD" w14:textId="3F210603" w:rsidR="007C0E91" w:rsidRPr="00084E83" w:rsidRDefault="007C0E91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Not described and </w:t>
            </w:r>
            <w:r w:rsidR="00795C37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non-optimized lending processes</w:t>
            </w:r>
          </w:p>
          <w:p w14:paraId="7B1DA790" w14:textId="65D216ED" w:rsidR="007C0E91" w:rsidRDefault="007C0E91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Complicated </w:t>
            </w:r>
            <w:r w:rsidR="00795C37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credit </w:t>
            </w: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maintenance procedures</w:t>
            </w:r>
          </w:p>
          <w:p w14:paraId="1FDBB6B3" w14:textId="77777777" w:rsidR="00325C29" w:rsidRPr="00084E83" w:rsidRDefault="00325C29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Uncomfortable and unsatisfactory service for the client</w:t>
            </w:r>
          </w:p>
          <w:p w14:paraId="3BB2497B" w14:textId="77721D72" w:rsidR="007C0E91" w:rsidRDefault="007C0E91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Unorganized and non-fixed activities </w:t>
            </w:r>
            <w:r w:rsidR="00F6225B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for </w:t>
            </w:r>
            <w:r w:rsidR="00F6225B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loan repayment</w:t>
            </w:r>
          </w:p>
          <w:p w14:paraId="18BBB35B" w14:textId="77777777" w:rsidR="003F5332" w:rsidRPr="00084E83" w:rsidRDefault="003F5332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Unsatisfied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and demotivated </w:t>
            </w: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staff, because of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 </w:t>
            </w:r>
            <w:r w:rsidRPr="003F5332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customer complaints</w:t>
            </w:r>
          </w:p>
          <w:p w14:paraId="1F6794F1" w14:textId="7DB3F2E0" w:rsidR="002C11CE" w:rsidRPr="00084E83" w:rsidRDefault="007C0E91" w:rsidP="00AA6C1C">
            <w:pPr>
              <w:pStyle w:val="paragraph"/>
              <w:numPr>
                <w:ilvl w:val="0"/>
                <w:numId w:val="16"/>
              </w:numPr>
              <w:spacing w:before="0" w:beforeAutospacing="0" w:after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Obsolete </w:t>
            </w:r>
            <w:r w:rsidR="008D658D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credit</w:t>
            </w: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 products</w:t>
            </w:r>
          </w:p>
        </w:tc>
      </w:tr>
      <w:tr w:rsidR="002C11CE" w:rsidRPr="00084E83" w14:paraId="0CC5C327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33418B" w14:textId="77777777" w:rsidR="002C11CE" w:rsidRPr="00084E83" w:rsidRDefault="002C11CE" w:rsidP="00944752">
            <w:pPr>
              <w:spacing w:before="240"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Pain Points: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84CAF" w14:textId="77777777" w:rsidR="004F7F20" w:rsidRPr="00C4120D" w:rsidRDefault="004F7F20" w:rsidP="00AA6C1C">
            <w:pPr>
              <w:spacing w:before="240" w:line="240" w:lineRule="auto"/>
              <w:ind w:left="253"/>
              <w:contextualSpacing/>
              <w:jc w:val="both"/>
              <w:rPr>
                <w:sz w:val="20"/>
              </w:rPr>
            </w:pPr>
            <w:r w:rsidRPr="00C03375">
              <w:rPr>
                <w:b/>
                <w:sz w:val="20"/>
              </w:rPr>
              <w:t>Unorganized procedure for processing loans to customers</w:t>
            </w:r>
            <w:r w:rsidRPr="00C4120D">
              <w:rPr>
                <w:sz w:val="20"/>
              </w:rPr>
              <w:t>. Banks use outdated loan mechanics that require a lot of manual checks and decision making by managers. All data on a specific loan and borrower are in different systems, which leads to confusion in customer service.</w:t>
            </w:r>
          </w:p>
          <w:p w14:paraId="42FD5C2B" w14:textId="21627DF6" w:rsidR="0047170C" w:rsidRPr="00084E83" w:rsidRDefault="004F7F20" w:rsidP="00AA6C1C">
            <w:pPr>
              <w:spacing w:before="240" w:after="0" w:line="240" w:lineRule="auto"/>
              <w:ind w:left="253"/>
              <w:contextualSpacing/>
              <w:jc w:val="both"/>
              <w:rPr>
                <w:sz w:val="20"/>
              </w:rPr>
            </w:pPr>
            <w:r w:rsidRPr="00C4120D">
              <w:rPr>
                <w:sz w:val="20"/>
              </w:rPr>
              <w:t xml:space="preserve">Bank employees </w:t>
            </w:r>
            <w:r w:rsidRPr="00C03375">
              <w:rPr>
                <w:b/>
                <w:sz w:val="20"/>
              </w:rPr>
              <w:t>cannot quickly advise a client</w:t>
            </w:r>
            <w:r w:rsidRPr="00C4120D">
              <w:rPr>
                <w:sz w:val="20"/>
              </w:rPr>
              <w:t xml:space="preserve"> on a loan and offer him transparent and favorable terms.</w:t>
            </w:r>
          </w:p>
        </w:tc>
      </w:tr>
      <w:tr w:rsidR="002C11CE" w:rsidRPr="00084E83" w14:paraId="4E20E089" w14:textId="77777777" w:rsidTr="00060BCD">
        <w:trPr>
          <w:trHeight w:val="8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DC675E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User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427857" w14:textId="73FAE57F" w:rsidR="00442E39" w:rsidRPr="00084E83" w:rsidRDefault="00442E39" w:rsidP="00FC20CB">
            <w:pPr>
              <w:pStyle w:val="paragraph"/>
              <w:spacing w:before="0" w:beforeAutospacing="0" w:after="0" w:afterAutospacing="0"/>
              <w:ind w:left="253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  <w:t xml:space="preserve">Goals for </w:t>
            </w:r>
            <w:proofErr w:type="gramStart"/>
            <w:r w:rsidRPr="00084E83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  <w:t>Bankers:​</w:t>
            </w:r>
            <w:proofErr w:type="gramEnd"/>
          </w:p>
          <w:p w14:paraId="73DD598C" w14:textId="4BCC6633" w:rsidR="00A5363F" w:rsidRDefault="00A5363F" w:rsidP="00FC20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95" w:firstLine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A5363F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Fast decision making on loans</w:t>
            </w:r>
          </w:p>
          <w:p w14:paraId="19442221" w14:textId="5855EFCC" w:rsidR="00AB199C" w:rsidRDefault="007D40EE" w:rsidP="00FC20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95" w:firstLine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7D40EE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Maintaining customer sales funnel</w:t>
            </w:r>
          </w:p>
          <w:p w14:paraId="150F887C" w14:textId="1DB3E425" w:rsidR="00442E39" w:rsidRPr="00084E83" w:rsidRDefault="00FF550B" w:rsidP="00FC20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95" w:firstLine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Providing </w:t>
            </w:r>
            <w:r w:rsidR="00384787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fast and effective advising for clients about credit products</w:t>
            </w:r>
            <w:r w:rsidR="00442E39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 ​</w:t>
            </w:r>
          </w:p>
          <w:p w14:paraId="0F7E1F16" w14:textId="77777777" w:rsidR="003A25C3" w:rsidRDefault="003A25C3" w:rsidP="00FC20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95" w:firstLine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3A25C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Creating customized offers for </w:t>
            </w:r>
            <w:proofErr w:type="spellStart"/>
            <w:r w:rsidRPr="003A25C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customers</w:t>
            </w:r>
          </w:p>
          <w:p w14:paraId="2CC0381C" w14:textId="589CB950" w:rsidR="00442E39" w:rsidRPr="00084E83" w:rsidRDefault="00442E39" w:rsidP="00FC20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95" w:firstLine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Client</w:t>
            </w:r>
            <w:proofErr w:type="spellEnd"/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s’ service cases taking and processing</w:t>
            </w:r>
          </w:p>
          <w:p w14:paraId="653556F9" w14:textId="77777777" w:rsidR="00442E39" w:rsidRPr="00084E83" w:rsidRDefault="00442E39" w:rsidP="00442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</w:pPr>
          </w:p>
          <w:p w14:paraId="4A566F44" w14:textId="4CBA5507" w:rsidR="00442E39" w:rsidRPr="00084E83" w:rsidRDefault="00442E39" w:rsidP="00FC20CB">
            <w:pPr>
              <w:pStyle w:val="paragraph"/>
              <w:spacing w:before="0" w:beforeAutospacing="0" w:after="0" w:afterAutospacing="0"/>
              <w:ind w:left="253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  <w:t xml:space="preserve">Goals for Senior </w:t>
            </w:r>
            <w:proofErr w:type="gramStart"/>
            <w:r w:rsidRPr="00084E83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US" w:eastAsia="en-US"/>
              </w:rPr>
              <w:t>Executives:​</w:t>
            </w:r>
            <w:proofErr w:type="gramEnd"/>
          </w:p>
          <w:p w14:paraId="5BD15BC4" w14:textId="77777777" w:rsidR="0006255E" w:rsidRDefault="00442E39" w:rsidP="00442E3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Planned activities and deals</w:t>
            </w:r>
            <w:r w:rsidR="0039652B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 on credit products</w:t>
            </w:r>
          </w:p>
          <w:p w14:paraId="70F75140" w14:textId="1065F7DE" w:rsidR="00442E39" w:rsidRPr="00084E83" w:rsidRDefault="0006255E" w:rsidP="00442E3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S</w:t>
            </w:r>
            <w:r w:rsidR="00442E39"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tatistics and analysis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 on l</w:t>
            </w:r>
            <w:r w:rsidRPr="0006255E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oans </w:t>
            </w:r>
            <w:r w:rsidR="006B0585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issued</w:t>
            </w:r>
          </w:p>
          <w:p w14:paraId="5AF50460" w14:textId="3DBE4167" w:rsidR="00442E39" w:rsidRDefault="00442E39" w:rsidP="00442E3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Manager’s work control tools​</w:t>
            </w:r>
            <w:r w:rsidR="006B0585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 xml:space="preserve"> through sales funnel </w:t>
            </w:r>
          </w:p>
          <w:p w14:paraId="46DFD745" w14:textId="14525D84" w:rsidR="00032E54" w:rsidRPr="00084E83" w:rsidRDefault="00032E54" w:rsidP="00442E3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Target tracking</w:t>
            </w:r>
          </w:p>
          <w:p w14:paraId="37763D77" w14:textId="08B45B65" w:rsidR="002C11CE" w:rsidRPr="00032E54" w:rsidRDefault="00442E39" w:rsidP="00032E5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084E83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Profitability planning on a basis of client data </w:t>
            </w:r>
            <w:r w:rsidR="00032E54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and their public information</w:t>
            </w:r>
          </w:p>
        </w:tc>
      </w:tr>
      <w:tr w:rsidR="002C11CE" w:rsidRPr="00084E83" w14:paraId="6A199374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2CD98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Business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F87820" w14:textId="52AD110F" w:rsidR="002C11CE" w:rsidRPr="00084E83" w:rsidRDefault="0095770B" w:rsidP="00941A3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Segoe UI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 w:cs="Segoe UI"/>
                <w:color w:val="000000" w:themeColor="dark1"/>
                <w:kern w:val="24"/>
                <w:sz w:val="20"/>
              </w:rPr>
              <w:t>Staff satisfaction and qualifications increase</w:t>
            </w:r>
          </w:p>
          <w:p w14:paraId="54744EE7" w14:textId="791F0EA5" w:rsidR="004C2176" w:rsidRPr="00084E83" w:rsidRDefault="001C112F" w:rsidP="00941A3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Segoe UI"/>
                <w:color w:val="000000" w:themeColor="dark1"/>
                <w:kern w:val="24"/>
                <w:sz w:val="20"/>
              </w:rPr>
            </w:pPr>
            <w:r>
              <w:rPr>
                <w:rFonts w:eastAsia="Times New Roman"/>
                <w:color w:val="000000" w:themeColor="dark1"/>
                <w:kern w:val="24"/>
                <w:sz w:val="20"/>
              </w:rPr>
              <w:t>Loans</w:t>
            </w:r>
            <w:r w:rsidR="004C2176" w:rsidRPr="00084E83">
              <w:rPr>
                <w:rFonts w:eastAsia="Times New Roman"/>
                <w:color w:val="000000" w:themeColor="dark1"/>
                <w:kern w:val="24"/>
                <w:sz w:val="20"/>
              </w:rPr>
              <w:t xml:space="preserve"> business processes automation </w:t>
            </w:r>
          </w:p>
          <w:p w14:paraId="6564DE4F" w14:textId="27CC2FC9" w:rsidR="004C2176" w:rsidRPr="00084E83" w:rsidRDefault="00EE7234" w:rsidP="00941A30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>
              <w:rPr>
                <w:rFonts w:eastAsia="Times New Roman"/>
                <w:color w:val="000000" w:themeColor="dark1"/>
                <w:kern w:val="24"/>
                <w:sz w:val="20"/>
              </w:rPr>
              <w:t>S</w:t>
            </w:r>
            <w:r w:rsidR="004C2176" w:rsidRPr="00084E83">
              <w:rPr>
                <w:rFonts w:eastAsia="Times New Roman"/>
                <w:color w:val="000000" w:themeColor="dark1"/>
                <w:kern w:val="24"/>
                <w:sz w:val="20"/>
              </w:rPr>
              <w:t>ervice time reduce​</w:t>
            </w:r>
            <w:r>
              <w:rPr>
                <w:rFonts w:eastAsia="Times New Roman"/>
                <w:color w:val="000000" w:themeColor="dark1"/>
                <w:kern w:val="24"/>
                <w:sz w:val="20"/>
              </w:rPr>
              <w:t xml:space="preserve"> for </w:t>
            </w:r>
            <w:proofErr w:type="spellStart"/>
            <w:r>
              <w:rPr>
                <w:rFonts w:eastAsia="Times New Roman"/>
                <w:color w:val="000000" w:themeColor="dark1"/>
                <w:kern w:val="24"/>
                <w:sz w:val="20"/>
              </w:rPr>
              <w:t>ratail</w:t>
            </w:r>
            <w:proofErr w:type="spellEnd"/>
            <w:r>
              <w:rPr>
                <w:rFonts w:eastAsia="Times New Roman"/>
                <w:color w:val="000000" w:themeColor="dark1"/>
                <w:kern w:val="24"/>
                <w:sz w:val="20"/>
              </w:rPr>
              <w:t xml:space="preserve"> and </w:t>
            </w:r>
            <w:proofErr w:type="spellStart"/>
            <w:r>
              <w:rPr>
                <w:rFonts w:eastAsia="Times New Roman"/>
                <w:color w:val="000000" w:themeColor="dark1"/>
                <w:kern w:val="24"/>
                <w:sz w:val="20"/>
              </w:rPr>
              <w:t>bisuness</w:t>
            </w:r>
            <w:proofErr w:type="spellEnd"/>
            <w:r>
              <w:rPr>
                <w:rFonts w:eastAsia="Times New Roman"/>
                <w:color w:val="000000" w:themeColor="dark1"/>
                <w:kern w:val="24"/>
                <w:sz w:val="20"/>
              </w:rPr>
              <w:t xml:space="preserve"> clients</w:t>
            </w:r>
          </w:p>
          <w:p w14:paraId="695E8B70" w14:textId="77777777" w:rsidR="004C2176" w:rsidRDefault="00941A30" w:rsidP="00941A30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Client servicing complexity increase​</w:t>
            </w:r>
          </w:p>
          <w:p w14:paraId="33D0BE19" w14:textId="4A2D84FB" w:rsidR="00EE7234" w:rsidRPr="00084E83" w:rsidRDefault="00992FF4" w:rsidP="00941A30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992FF4">
              <w:rPr>
                <w:rFonts w:eastAsia="Times New Roman"/>
                <w:color w:val="000000" w:themeColor="dark1"/>
                <w:kern w:val="24"/>
                <w:sz w:val="20"/>
              </w:rPr>
              <w:t>Conducting a transparent credit policy to customers</w:t>
            </w:r>
          </w:p>
        </w:tc>
      </w:tr>
      <w:tr w:rsidR="002C11CE" w:rsidRPr="00084E83" w14:paraId="6AA88129" w14:textId="77777777" w:rsidTr="00DF7CB6">
        <w:trPr>
          <w:trHeight w:val="47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3AC931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Triggers: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A06407" w14:textId="77777777" w:rsidR="00DF7CB6" w:rsidRPr="00084E83" w:rsidRDefault="00DF7CB6" w:rsidP="00556CFA">
            <w:pPr>
              <w:pStyle w:val="a5"/>
              <w:ind w:left="395"/>
              <w:rPr>
                <w:b/>
                <w:sz w:val="20"/>
              </w:rPr>
            </w:pPr>
            <w:r w:rsidRPr="00084E83">
              <w:rPr>
                <w:b/>
                <w:sz w:val="20"/>
              </w:rPr>
              <w:t xml:space="preserve">Usually in a banks exist problems </w:t>
            </w:r>
            <w:proofErr w:type="gramStart"/>
            <w:r w:rsidRPr="00084E83">
              <w:rPr>
                <w:b/>
                <w:sz w:val="20"/>
              </w:rPr>
              <w:t>with:​</w:t>
            </w:r>
            <w:proofErr w:type="gramEnd"/>
          </w:p>
          <w:p w14:paraId="7E2A3163" w14:textId="77777777" w:rsidR="00DF7CB6" w:rsidRPr="00084E83" w:rsidRDefault="00DF7CB6" w:rsidP="00DF7CB6">
            <w:pPr>
              <w:pStyle w:val="a5"/>
              <w:rPr>
                <w:sz w:val="20"/>
              </w:rPr>
            </w:pPr>
          </w:p>
          <w:p w14:paraId="1738CF87" w14:textId="081B401F" w:rsidR="00DB4C1B" w:rsidRDefault="00DB4C1B" w:rsidP="00556CFA">
            <w:pPr>
              <w:pStyle w:val="a5"/>
              <w:numPr>
                <w:ilvl w:val="0"/>
                <w:numId w:val="15"/>
              </w:numPr>
              <w:ind w:left="395" w:firstLine="0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B4C1B">
              <w:rPr>
                <w:sz w:val="20"/>
              </w:rPr>
              <w:t>oan decision making speed</w:t>
            </w:r>
            <w:r w:rsidRPr="00DB4C1B">
              <w:rPr>
                <w:sz w:val="20"/>
              </w:rPr>
              <w:t xml:space="preserve"> </w:t>
            </w:r>
          </w:p>
          <w:p w14:paraId="1877AB06" w14:textId="272CED27" w:rsidR="00556CFA" w:rsidRDefault="00556CFA" w:rsidP="00556CFA">
            <w:pPr>
              <w:pStyle w:val="a5"/>
              <w:numPr>
                <w:ilvl w:val="0"/>
                <w:numId w:val="15"/>
              </w:numPr>
              <w:ind w:left="39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Pr="00556CFA">
              <w:rPr>
                <w:sz w:val="20"/>
              </w:rPr>
              <w:t>rompt advice on current loans</w:t>
            </w:r>
          </w:p>
          <w:p w14:paraId="33B5A2CB" w14:textId="7FFFE673" w:rsidR="00DF7CB6" w:rsidRPr="00084E83" w:rsidRDefault="00DF7CB6" w:rsidP="00556CFA">
            <w:pPr>
              <w:pStyle w:val="a5"/>
              <w:numPr>
                <w:ilvl w:val="0"/>
                <w:numId w:val="15"/>
              </w:numPr>
              <w:ind w:left="395" w:firstLine="0"/>
              <w:rPr>
                <w:sz w:val="20"/>
              </w:rPr>
            </w:pPr>
            <w:r w:rsidRPr="00084E83">
              <w:rPr>
                <w:sz w:val="20"/>
              </w:rPr>
              <w:t>Client's cost-benefit analysis ​</w:t>
            </w:r>
          </w:p>
          <w:p w14:paraId="131368CF" w14:textId="75A316EC" w:rsidR="002C11CE" w:rsidRPr="00084E83" w:rsidRDefault="00DF7CB6" w:rsidP="00556CFA">
            <w:pPr>
              <w:pStyle w:val="a5"/>
              <w:numPr>
                <w:ilvl w:val="0"/>
                <w:numId w:val="15"/>
              </w:numPr>
              <w:ind w:left="395" w:firstLine="0"/>
              <w:rPr>
                <w:sz w:val="20"/>
              </w:rPr>
            </w:pPr>
            <w:r w:rsidRPr="00084E83">
              <w:rPr>
                <w:sz w:val="20"/>
              </w:rPr>
              <w:t>Tracking efficiency of work with him</w:t>
            </w:r>
          </w:p>
        </w:tc>
      </w:tr>
      <w:tr w:rsidR="002C11CE" w:rsidRPr="00084E83" w14:paraId="6B9768D9" w14:textId="77777777" w:rsidTr="00060BCD">
        <w:trPr>
          <w:trHeight w:val="200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6FEDAD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>Narrative Description (e.g., plans, evaluation, actions, objects, context, events):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A0DEFD" w14:textId="3B2B5B1A" w:rsidR="002C11CE" w:rsidRPr="00084E83" w:rsidRDefault="0037512E" w:rsidP="00556CFA">
            <w:pPr>
              <w:ind w:left="678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sz w:val="20"/>
              </w:rPr>
              <w:t>XRM-system is a single center for managing the entire business. Works with different co</w:t>
            </w:r>
            <w:bookmarkStart w:id="0" w:name="_GoBack"/>
            <w:bookmarkEnd w:id="0"/>
            <w:r w:rsidRPr="00084E83">
              <w:rPr>
                <w:rFonts w:eastAsia="Times New Roman" w:cs="Segoe UI"/>
                <w:sz w:val="20"/>
              </w:rPr>
              <w:t>mmunication channels and collects data on customers, helps to form individual offers and increase sales.</w:t>
            </w:r>
          </w:p>
        </w:tc>
      </w:tr>
      <w:tr w:rsidR="002C11CE" w:rsidRPr="00084E83" w14:paraId="41A18215" w14:textId="77777777" w:rsidTr="00060BCD">
        <w:trPr>
          <w:trHeight w:val="7468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9E3DFA" w14:textId="79F03F7E" w:rsidR="002C11CE" w:rsidRPr="00084E83" w:rsidRDefault="002C11CE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t>Detailed Steps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35E88" w14:textId="5C93B6C9" w:rsidR="007D7B88" w:rsidRPr="00084E83" w:rsidRDefault="007D7B88" w:rsidP="007D7B88">
            <w:pPr>
              <w:pStyle w:val="a5"/>
              <w:rPr>
                <w:b/>
                <w:sz w:val="20"/>
              </w:rPr>
            </w:pPr>
            <w:r w:rsidRPr="00084E83">
              <w:rPr>
                <w:b/>
                <w:sz w:val="20"/>
              </w:rPr>
              <w:t>Point Targets for XRM Banking Integration:</w:t>
            </w:r>
          </w:p>
          <w:p w14:paraId="4EE21793" w14:textId="63068244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Built-in tools for creating and approving new loan products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52AF44A2" w14:textId="6F4DDDE6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Maintain the requested and approved parameters of credit products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28E8D9B6" w14:textId="49F628E1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Automation of selection and fixing of tariffs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07F4F350" w14:textId="0A97B1FC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Security for a loan application (pledge of guarantee, insurance, guarantees)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5B26EF85" w14:textId="57864F58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Routing and approval of the loan application within the branch and central office of the Bank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7FBFA8A4" w14:textId="221D2A1E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Automatic collection and approval of opinions of related services (lawyers, security, risks, pledge department)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76B587EC" w14:textId="24B4184A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Ability to implement embedded scoring cards (models)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2D2C5BC0" w14:textId="2E4C21E2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Fixation of all stages of coordination (date and time, reasons for returns for revision, refusals)</w:t>
            </w:r>
            <w:r w:rsidR="00E86398" w:rsidRPr="00E86398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19C8A7B3" w14:textId="5218C080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Conducting a credit committee in the form of an in-person meeting, an electronic meeting, remote voting</w:t>
            </w:r>
            <w:r w:rsidR="00D230CB" w:rsidRPr="00D230CB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41D6346D" w14:textId="347CE7DC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Management of decision-making limits</w:t>
            </w:r>
            <w:r w:rsidR="00D230CB" w:rsidRPr="00D230CB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51A60E7E" w14:textId="0EAD884A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Register of pledged property</w:t>
            </w:r>
            <w:r w:rsidR="00D230CB">
              <w:rPr>
                <w:rFonts w:eastAsia="Times New Roman"/>
                <w:color w:val="000000" w:themeColor="dark1"/>
                <w:kern w:val="24"/>
                <w:sz w:val="20"/>
                <w:lang w:val="ru-RU"/>
              </w:rPr>
              <w:t>.</w:t>
            </w:r>
          </w:p>
          <w:p w14:paraId="6A86C9E4" w14:textId="175FB9B7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Integration with the credit bureau</w:t>
            </w:r>
            <w:r w:rsidR="00D230CB" w:rsidRPr="00D230CB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4FFC3307" w14:textId="7DE28E13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Automatic generation of printed documents and postings in external systems (ABS, card)</w:t>
            </w:r>
            <w:r w:rsidR="007C4A1E" w:rsidRPr="007C4A1E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193E6F68" w14:textId="534AACCD" w:rsidR="004B77A7" w:rsidRP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Document management of the credit file</w:t>
            </w:r>
            <w:r w:rsidR="007C4A1E" w:rsidRPr="007C4A1E">
              <w:rPr>
                <w:rFonts w:eastAsia="Times New Roman"/>
                <w:color w:val="000000" w:themeColor="dark1"/>
                <w:kern w:val="24"/>
                <w:sz w:val="20"/>
              </w:rPr>
              <w:t>.</w:t>
            </w:r>
          </w:p>
          <w:p w14:paraId="0BF318AB" w14:textId="58C1ED52" w:rsidR="004B77A7" w:rsidRDefault="004B77A7" w:rsidP="004B77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4B77A7">
              <w:rPr>
                <w:rFonts w:eastAsia="Times New Roman"/>
                <w:color w:val="000000" w:themeColor="dark1"/>
                <w:kern w:val="24"/>
                <w:sz w:val="20"/>
              </w:rPr>
              <w:t>Integration with the Contact Center.</w:t>
            </w:r>
          </w:p>
          <w:p w14:paraId="723E740D" w14:textId="3BEA0C5D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Formation of a unified customer base, by combining client information from existing Bank systems, as well as supplementing it from external sources.</w:t>
            </w:r>
          </w:p>
          <w:p w14:paraId="60F6FF3F" w14:textId="5E7A028C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Maintenance of data on potential clients of the Bank, partners, competitors.</w:t>
            </w:r>
          </w:p>
          <w:p w14:paraId="7EAAFCB5" w14:textId="3D38E021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Storing the history of interaction with customers (registration of meetings, history of appeals to client managers, contact center.</w:t>
            </w:r>
          </w:p>
          <w:p w14:paraId="00ADB062" w14:textId="352DE863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 xml:space="preserve">Segmentation (categorization, </w:t>
            </w:r>
            <w:proofErr w:type="spellStart"/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clusterization</w:t>
            </w:r>
            <w:proofErr w:type="spellEnd"/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) of the Bank's clients.</w:t>
            </w:r>
          </w:p>
          <w:p w14:paraId="22544033" w14:textId="4953F6BF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Automation of the processes of sales of banking products and services to the Bank's clients.</w:t>
            </w:r>
          </w:p>
          <w:p w14:paraId="152F9888" w14:textId="3B4B0D8F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Planning sales at different stages, as well as monitoring the implementation of plans.</w:t>
            </w:r>
          </w:p>
          <w:p w14:paraId="5DFB5AA1" w14:textId="3BCCCFC2" w:rsidR="007D7B88" w:rsidRPr="00084E83" w:rsidRDefault="007D7B88" w:rsidP="007D7B88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Proposal to the customer of products corresponding to its segment, including cross-selling.</w:t>
            </w:r>
          </w:p>
          <w:p w14:paraId="5CFBC42B" w14:textId="356833A5" w:rsidR="002C11CE" w:rsidRPr="00BC06A7" w:rsidDel="009D3AB0" w:rsidRDefault="007D7B88" w:rsidP="00BC06A7">
            <w:pPr>
              <w:pStyle w:val="a5"/>
              <w:numPr>
                <w:ilvl w:val="0"/>
                <w:numId w:val="11"/>
              </w:numPr>
              <w:spacing w:after="0"/>
              <w:rPr>
                <w:rFonts w:eastAsia="Times New Roman"/>
                <w:color w:val="000000" w:themeColor="dark1"/>
                <w:kern w:val="24"/>
                <w:sz w:val="20"/>
              </w:rPr>
            </w:pPr>
            <w:r w:rsidRPr="00084E83">
              <w:rPr>
                <w:rFonts w:eastAsia="Times New Roman"/>
                <w:color w:val="000000" w:themeColor="dark1"/>
                <w:kern w:val="24"/>
                <w:sz w:val="20"/>
              </w:rPr>
              <w:t>Calculation of key performance indicators (KPI) of the Bank's work on sales, attraction, support, customer service.</w:t>
            </w:r>
          </w:p>
        </w:tc>
      </w:tr>
      <w:tr w:rsidR="002C11CE" w:rsidRPr="00084E83" w14:paraId="76A9B064" w14:textId="77777777" w:rsidTr="002C11CE">
        <w:trPr>
          <w:trHeight w:val="559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083F03" w14:textId="77777777" w:rsidR="002C11CE" w:rsidRPr="00084E83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>Success Metrics: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CA02C" w14:textId="347ACE0A" w:rsidR="002C11CE" w:rsidRPr="00084E83" w:rsidRDefault="00D85C0D" w:rsidP="00564BDA">
            <w:pPr>
              <w:pStyle w:val="a5"/>
              <w:rPr>
                <w:rFonts w:eastAsia="Times New Roman" w:cs="Segoe UI"/>
                <w:sz w:val="20"/>
              </w:rPr>
            </w:pPr>
            <w:r w:rsidRPr="00084E83">
              <w:rPr>
                <w:rFonts w:eastAsia="Times New Roman" w:cs="Segoe UI"/>
                <w:sz w:val="20"/>
              </w:rPr>
              <w:t xml:space="preserve">XRM® Banking helps to </w:t>
            </w:r>
            <w:r w:rsidR="008E6A3C" w:rsidRPr="008E6A3C">
              <w:rPr>
                <w:rFonts w:eastAsia="Times New Roman" w:cs="Segoe UI"/>
                <w:sz w:val="20"/>
              </w:rPr>
              <w:t>efficiently serve customers who are interested in bank loan products</w:t>
            </w:r>
            <w:r w:rsidR="008E6A3C" w:rsidRPr="008E6A3C">
              <w:rPr>
                <w:rFonts w:eastAsia="Times New Roman" w:cs="Segoe UI"/>
                <w:sz w:val="20"/>
              </w:rPr>
              <w:t xml:space="preserve"> </w:t>
            </w:r>
            <w:r w:rsidRPr="00084E83">
              <w:rPr>
                <w:rFonts w:eastAsia="Times New Roman" w:cs="Segoe UI"/>
                <w:sz w:val="20"/>
              </w:rPr>
              <w:t>with minimal time. The system collects data about each client, helps to form individual offers and speeds up the service time.</w:t>
            </w:r>
          </w:p>
        </w:tc>
      </w:tr>
    </w:tbl>
    <w:p w14:paraId="4E756C4C" w14:textId="77777777" w:rsidR="004C0C47" w:rsidRPr="00084E83" w:rsidRDefault="004C0C47"/>
    <w:sectPr w:rsidR="004C0C47" w:rsidRPr="0008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E8"/>
    <w:multiLevelType w:val="hybridMultilevel"/>
    <w:tmpl w:val="65B2F9EA"/>
    <w:lvl w:ilvl="0" w:tplc="375C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A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E2BD9"/>
    <w:multiLevelType w:val="hybridMultilevel"/>
    <w:tmpl w:val="9D9E3F8A"/>
    <w:lvl w:ilvl="0" w:tplc="12F2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6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1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8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35498"/>
    <w:multiLevelType w:val="hybridMultilevel"/>
    <w:tmpl w:val="2BACDC48"/>
    <w:lvl w:ilvl="0" w:tplc="6CB49D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474B7"/>
    <w:multiLevelType w:val="multilevel"/>
    <w:tmpl w:val="A52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17C69"/>
    <w:multiLevelType w:val="hybridMultilevel"/>
    <w:tmpl w:val="4314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5476"/>
    <w:multiLevelType w:val="hybridMultilevel"/>
    <w:tmpl w:val="09E88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5E6"/>
    <w:multiLevelType w:val="hybridMultilevel"/>
    <w:tmpl w:val="02361A4E"/>
    <w:lvl w:ilvl="0" w:tplc="6CB49D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360869"/>
    <w:multiLevelType w:val="hybridMultilevel"/>
    <w:tmpl w:val="F9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FC3"/>
    <w:multiLevelType w:val="hybridMultilevel"/>
    <w:tmpl w:val="42A63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7D8"/>
    <w:multiLevelType w:val="hybridMultilevel"/>
    <w:tmpl w:val="4B32537C"/>
    <w:lvl w:ilvl="0" w:tplc="389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2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F11D0C"/>
    <w:multiLevelType w:val="hybridMultilevel"/>
    <w:tmpl w:val="2ED89E4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5FA"/>
    <w:multiLevelType w:val="multilevel"/>
    <w:tmpl w:val="ECA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11EE6"/>
    <w:multiLevelType w:val="hybridMultilevel"/>
    <w:tmpl w:val="153C0960"/>
    <w:lvl w:ilvl="0" w:tplc="6CB49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B1105"/>
    <w:multiLevelType w:val="hybridMultilevel"/>
    <w:tmpl w:val="52F87B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3F8A"/>
    <w:multiLevelType w:val="hybridMultilevel"/>
    <w:tmpl w:val="A3629978"/>
    <w:lvl w:ilvl="0" w:tplc="172E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23255C"/>
    <w:multiLevelType w:val="hybridMultilevel"/>
    <w:tmpl w:val="DD3E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99"/>
    <w:rsid w:val="00016FB1"/>
    <w:rsid w:val="00020743"/>
    <w:rsid w:val="00021947"/>
    <w:rsid w:val="00021D0A"/>
    <w:rsid w:val="00032E54"/>
    <w:rsid w:val="00043A35"/>
    <w:rsid w:val="00060BCD"/>
    <w:rsid w:val="0006255E"/>
    <w:rsid w:val="00083508"/>
    <w:rsid w:val="00084E83"/>
    <w:rsid w:val="00093327"/>
    <w:rsid w:val="00097459"/>
    <w:rsid w:val="000B0E35"/>
    <w:rsid w:val="000E050A"/>
    <w:rsid w:val="0011790F"/>
    <w:rsid w:val="00152435"/>
    <w:rsid w:val="00153F4F"/>
    <w:rsid w:val="00165A3C"/>
    <w:rsid w:val="001930E9"/>
    <w:rsid w:val="001A10DD"/>
    <w:rsid w:val="001C112F"/>
    <w:rsid w:val="001E44BC"/>
    <w:rsid w:val="001E59C8"/>
    <w:rsid w:val="001E6D66"/>
    <w:rsid w:val="001F4C7A"/>
    <w:rsid w:val="00200CEE"/>
    <w:rsid w:val="00234150"/>
    <w:rsid w:val="002352F9"/>
    <w:rsid w:val="0024359F"/>
    <w:rsid w:val="002477C0"/>
    <w:rsid w:val="00296A36"/>
    <w:rsid w:val="002A0867"/>
    <w:rsid w:val="002A503B"/>
    <w:rsid w:val="002C11CE"/>
    <w:rsid w:val="00325C29"/>
    <w:rsid w:val="003613BD"/>
    <w:rsid w:val="003634B2"/>
    <w:rsid w:val="00370B2A"/>
    <w:rsid w:val="0037512E"/>
    <w:rsid w:val="00384787"/>
    <w:rsid w:val="00386779"/>
    <w:rsid w:val="0039652B"/>
    <w:rsid w:val="003A25C3"/>
    <w:rsid w:val="003A53E2"/>
    <w:rsid w:val="003D4DCD"/>
    <w:rsid w:val="003D51F0"/>
    <w:rsid w:val="003E0511"/>
    <w:rsid w:val="003F5332"/>
    <w:rsid w:val="00442E39"/>
    <w:rsid w:val="00443112"/>
    <w:rsid w:val="00450D0D"/>
    <w:rsid w:val="00451C93"/>
    <w:rsid w:val="0047170C"/>
    <w:rsid w:val="0047296A"/>
    <w:rsid w:val="0047458F"/>
    <w:rsid w:val="00490C51"/>
    <w:rsid w:val="004A088F"/>
    <w:rsid w:val="004B77A7"/>
    <w:rsid w:val="004C0C47"/>
    <w:rsid w:val="004C2176"/>
    <w:rsid w:val="004E017A"/>
    <w:rsid w:val="004F7F20"/>
    <w:rsid w:val="00511CB3"/>
    <w:rsid w:val="005165C4"/>
    <w:rsid w:val="00543218"/>
    <w:rsid w:val="00556CFA"/>
    <w:rsid w:val="00560699"/>
    <w:rsid w:val="00564BDA"/>
    <w:rsid w:val="005A2B10"/>
    <w:rsid w:val="005A4EDE"/>
    <w:rsid w:val="00600DB6"/>
    <w:rsid w:val="00616158"/>
    <w:rsid w:val="00622ED4"/>
    <w:rsid w:val="006961E1"/>
    <w:rsid w:val="006A4A95"/>
    <w:rsid w:val="006B0585"/>
    <w:rsid w:val="00724536"/>
    <w:rsid w:val="007635B3"/>
    <w:rsid w:val="00795C37"/>
    <w:rsid w:val="007C0E91"/>
    <w:rsid w:val="007C4A1E"/>
    <w:rsid w:val="007C606B"/>
    <w:rsid w:val="007D3414"/>
    <w:rsid w:val="007D40EE"/>
    <w:rsid w:val="007D5736"/>
    <w:rsid w:val="007D7B88"/>
    <w:rsid w:val="007E0035"/>
    <w:rsid w:val="007F52E6"/>
    <w:rsid w:val="0080738C"/>
    <w:rsid w:val="00822E87"/>
    <w:rsid w:val="008418CD"/>
    <w:rsid w:val="00883DD8"/>
    <w:rsid w:val="008D658D"/>
    <w:rsid w:val="008E6A3C"/>
    <w:rsid w:val="008F31C6"/>
    <w:rsid w:val="00941A30"/>
    <w:rsid w:val="00944752"/>
    <w:rsid w:val="0095770B"/>
    <w:rsid w:val="00967128"/>
    <w:rsid w:val="00992FF4"/>
    <w:rsid w:val="00993641"/>
    <w:rsid w:val="009B0FD1"/>
    <w:rsid w:val="00A46192"/>
    <w:rsid w:val="00A5363F"/>
    <w:rsid w:val="00AA0C81"/>
    <w:rsid w:val="00AA4FB0"/>
    <w:rsid w:val="00AA6C1C"/>
    <w:rsid w:val="00AB199C"/>
    <w:rsid w:val="00AC7419"/>
    <w:rsid w:val="00B0288E"/>
    <w:rsid w:val="00B12D77"/>
    <w:rsid w:val="00B217A9"/>
    <w:rsid w:val="00B3670E"/>
    <w:rsid w:val="00B926A5"/>
    <w:rsid w:val="00BC06A7"/>
    <w:rsid w:val="00C006B1"/>
    <w:rsid w:val="00C03375"/>
    <w:rsid w:val="00C27444"/>
    <w:rsid w:val="00C41197"/>
    <w:rsid w:val="00C4120D"/>
    <w:rsid w:val="00C43E01"/>
    <w:rsid w:val="00C47911"/>
    <w:rsid w:val="00C5403E"/>
    <w:rsid w:val="00CB120C"/>
    <w:rsid w:val="00CC3F95"/>
    <w:rsid w:val="00D230CB"/>
    <w:rsid w:val="00D51FFC"/>
    <w:rsid w:val="00D7634D"/>
    <w:rsid w:val="00D85C0D"/>
    <w:rsid w:val="00D95746"/>
    <w:rsid w:val="00DA2FA1"/>
    <w:rsid w:val="00DB4C1B"/>
    <w:rsid w:val="00DE0D62"/>
    <w:rsid w:val="00DF7CB6"/>
    <w:rsid w:val="00E2799A"/>
    <w:rsid w:val="00E76D40"/>
    <w:rsid w:val="00E86398"/>
    <w:rsid w:val="00EA5181"/>
    <w:rsid w:val="00ED34F5"/>
    <w:rsid w:val="00EE7234"/>
    <w:rsid w:val="00F045B0"/>
    <w:rsid w:val="00F451E5"/>
    <w:rsid w:val="00F51545"/>
    <w:rsid w:val="00F6225B"/>
    <w:rsid w:val="00F70C26"/>
    <w:rsid w:val="00F8210C"/>
    <w:rsid w:val="00F853DB"/>
    <w:rsid w:val="00F91D19"/>
    <w:rsid w:val="00FC20CB"/>
    <w:rsid w:val="00FE5D0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6C33"/>
  <w15:docId w15:val="{CEC40FAB-734D-485D-83D7-2588A5B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2E6"/>
    <w:pPr>
      <w:ind w:left="720"/>
      <w:contextualSpacing/>
    </w:pPr>
  </w:style>
  <w:style w:type="paragraph" w:customStyle="1" w:styleId="GuidanceText">
    <w:name w:val="Guidance Text"/>
    <w:basedOn w:val="a"/>
    <w:link w:val="GuidanceTextChar"/>
    <w:rsid w:val="00C43E01"/>
    <w:pPr>
      <w:spacing w:after="0" w:line="240" w:lineRule="auto"/>
    </w:pPr>
    <w:rPr>
      <w:rFonts w:ascii="Arial" w:eastAsia="Times New Roman" w:hAnsi="Arial" w:cs="Times New Roman"/>
      <w:i/>
      <w:color w:val="0000FF"/>
      <w:sz w:val="20"/>
      <w:szCs w:val="20"/>
    </w:rPr>
  </w:style>
  <w:style w:type="character" w:customStyle="1" w:styleId="GuidanceTextChar">
    <w:name w:val="Guidance Text Char"/>
    <w:basedOn w:val="a0"/>
    <w:link w:val="GuidanceText"/>
    <w:rsid w:val="00C43E01"/>
    <w:rPr>
      <w:rFonts w:ascii="Arial" w:eastAsia="Times New Roman" w:hAnsi="Arial" w:cs="Times New Roman"/>
      <w:i/>
      <w:color w:val="0000FF"/>
      <w:sz w:val="20"/>
      <w:szCs w:val="20"/>
    </w:rPr>
  </w:style>
  <w:style w:type="character" w:styleId="a6">
    <w:name w:val="Hyperlink"/>
    <w:basedOn w:val="a0"/>
    <w:uiPriority w:val="99"/>
    <w:unhideWhenUsed/>
    <w:rsid w:val="008F31C6"/>
    <w:rPr>
      <w:color w:val="0000FF" w:themeColor="hyperlink"/>
      <w:u w:val="single"/>
    </w:rPr>
  </w:style>
  <w:style w:type="paragraph" w:customStyle="1" w:styleId="paragraph">
    <w:name w:val="paragraph"/>
    <w:basedOn w:val="a"/>
    <w:rsid w:val="0045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451C93"/>
  </w:style>
  <w:style w:type="character" w:customStyle="1" w:styleId="eop">
    <w:name w:val="eop"/>
    <w:basedOn w:val="a0"/>
    <w:rsid w:val="0045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88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53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296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9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6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9C23B7C0CD438FCF5DD8CA5E0F17" ma:contentTypeVersion="0" ma:contentTypeDescription="Create a new document." ma:contentTypeScope="" ma:versionID="0586493afdbd8e38c2c0e9cc7e36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3B48-5312-4514-95F8-3554D038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013F9-EE68-40DA-B595-F0B5EFBC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26812-82BE-4092-B44E-C29ADF37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86F61-9D71-44A5-9EBB-9A825758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Nalam</dc:creator>
  <cp:lastModifiedBy>Tobolin Oleksandr</cp:lastModifiedBy>
  <cp:revision>7</cp:revision>
  <dcterms:created xsi:type="dcterms:W3CDTF">2018-10-29T10:57:00Z</dcterms:created>
  <dcterms:modified xsi:type="dcterms:W3CDTF">2018-10-29T11:04:00Z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0x01010019AC9C23B7C0CD438FCF5DD8CA5E0F17</vt:lpwstr>
  </property>
</Properties>
</file>