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93" w:rsidRPr="00D47B93" w:rsidRDefault="00D47B93" w:rsidP="00D47B93">
      <w:pPr>
        <w:pStyle w:val="Heading2"/>
        <w:spacing w:before="161"/>
        <w:ind w:left="0"/>
        <w:rPr>
          <w:rFonts w:asciiTheme="minorHAnsi" w:hAnsiTheme="minorHAnsi"/>
          <w:spacing w:val="-1"/>
          <w:u w:val="single"/>
        </w:rPr>
      </w:pPr>
      <w:r w:rsidRPr="00D47B93">
        <w:rPr>
          <w:rFonts w:asciiTheme="minorHAnsi" w:hAnsiTheme="minorHAnsi"/>
          <w:spacing w:val="-1"/>
          <w:u w:val="single"/>
        </w:rPr>
        <w:t xml:space="preserve">Microsoft </w:t>
      </w:r>
      <w:r w:rsidR="001D2D95">
        <w:rPr>
          <w:rFonts w:asciiTheme="minorHAnsi" w:hAnsiTheme="minorHAnsi"/>
          <w:spacing w:val="-1"/>
          <w:u w:val="single"/>
        </w:rPr>
        <w:t xml:space="preserve">Dynamics 365 </w:t>
      </w:r>
      <w:r w:rsidR="00C663EE">
        <w:rPr>
          <w:rFonts w:asciiTheme="minorHAnsi" w:hAnsiTheme="minorHAnsi"/>
          <w:spacing w:val="-1"/>
          <w:u w:val="single"/>
        </w:rPr>
        <w:t xml:space="preserve">RETAIL </w:t>
      </w:r>
    </w:p>
    <w:p w:rsidR="00392811" w:rsidRDefault="00610B99" w:rsidP="00392811">
      <w:pPr>
        <w:pStyle w:val="BodyText"/>
        <w:spacing w:before="241"/>
        <w:ind w:left="0" w:right="358"/>
      </w:pPr>
      <w:bookmarkStart w:id="0" w:name="_Hlk535837950"/>
      <w:r>
        <w:rPr>
          <w:spacing w:val="-1"/>
        </w:rPr>
        <w:t>Availab</w:t>
      </w:r>
      <w:r w:rsidR="00FB7F78">
        <w:rPr>
          <w:spacing w:val="-1"/>
        </w:rPr>
        <w:t xml:space="preserve">le in three deployments, Cloud </w:t>
      </w:r>
      <w:r>
        <w:rPr>
          <w:spacing w:val="-1"/>
        </w:rPr>
        <w:t>(multi-tenant), On-Deman</w:t>
      </w:r>
      <w:r w:rsidR="00FB7F78">
        <w:rPr>
          <w:spacing w:val="-1"/>
        </w:rPr>
        <w:t>d</w:t>
      </w:r>
      <w:r>
        <w:rPr>
          <w:spacing w:val="-1"/>
        </w:rPr>
        <w:t xml:space="preserve"> (single tenant)</w:t>
      </w:r>
      <w:r w:rsidR="00FB7F78">
        <w:rPr>
          <w:spacing w:val="-1"/>
        </w:rPr>
        <w:t>, and On-Premis</w:t>
      </w:r>
      <w:r>
        <w:rPr>
          <w:spacing w:val="-1"/>
        </w:rPr>
        <w:t>e for reliable taxation and ease of use</w:t>
      </w:r>
      <w:r w:rsidR="00FB7F78">
        <w:rPr>
          <w:spacing w:val="-1"/>
        </w:rPr>
        <w:t xml:space="preserve">.  </w:t>
      </w:r>
      <w:bookmarkEnd w:id="0"/>
      <w:r w:rsidR="00392811">
        <w:rPr>
          <w:spacing w:val="-1"/>
        </w:rPr>
        <w:t>This</w:t>
      </w:r>
      <w:r w:rsidR="00392811">
        <w:rPr>
          <w:spacing w:val="-4"/>
        </w:rPr>
        <w:t xml:space="preserve"> </w:t>
      </w:r>
      <w:r w:rsidR="00392811">
        <w:rPr>
          <w:spacing w:val="-1"/>
        </w:rPr>
        <w:t>guide</w:t>
      </w:r>
      <w:r w:rsidR="00392811">
        <w:rPr>
          <w:spacing w:val="-2"/>
        </w:rPr>
        <w:t xml:space="preserve"> </w:t>
      </w:r>
      <w:r w:rsidR="00392811">
        <w:rPr>
          <w:spacing w:val="-1"/>
        </w:rPr>
        <w:t>provides</w:t>
      </w:r>
      <w:r w:rsidR="00392811">
        <w:rPr>
          <w:spacing w:val="-4"/>
        </w:rPr>
        <w:t xml:space="preserve"> </w:t>
      </w:r>
      <w:r w:rsidR="00392811">
        <w:rPr>
          <w:spacing w:val="-1"/>
        </w:rPr>
        <w:t>instructions</w:t>
      </w:r>
      <w:r w:rsidR="00392811">
        <w:rPr>
          <w:spacing w:val="-3"/>
        </w:rPr>
        <w:t xml:space="preserve"> </w:t>
      </w:r>
      <w:r w:rsidR="00392811">
        <w:rPr>
          <w:spacing w:val="-1"/>
        </w:rPr>
        <w:t>for</w:t>
      </w:r>
      <w:r w:rsidR="00392811">
        <w:rPr>
          <w:spacing w:val="-3"/>
        </w:rPr>
        <w:t xml:space="preserve"> </w:t>
      </w:r>
      <w:r w:rsidR="00392811">
        <w:rPr>
          <w:spacing w:val="-1"/>
        </w:rPr>
        <w:t>using</w:t>
      </w:r>
      <w:r w:rsidR="00392811">
        <w:rPr>
          <w:spacing w:val="-3"/>
        </w:rPr>
        <w:t xml:space="preserve"> </w:t>
      </w:r>
      <w:r w:rsidR="00392811">
        <w:t>the</w:t>
      </w:r>
      <w:r w:rsidR="00392811">
        <w:rPr>
          <w:spacing w:val="-2"/>
        </w:rPr>
        <w:t xml:space="preserve"> </w:t>
      </w:r>
      <w:r w:rsidR="00392811">
        <w:rPr>
          <w:spacing w:val="-1"/>
        </w:rPr>
        <w:t>Vertex</w:t>
      </w:r>
      <w:r w:rsidR="00392811">
        <w:rPr>
          <w:spacing w:val="-3"/>
        </w:rPr>
        <w:t xml:space="preserve"> </w:t>
      </w:r>
      <w:r w:rsidR="00392811">
        <w:t>tax</w:t>
      </w:r>
      <w:r w:rsidR="00392811">
        <w:rPr>
          <w:spacing w:val="-3"/>
        </w:rPr>
        <w:t xml:space="preserve"> </w:t>
      </w:r>
      <w:r w:rsidR="00392811">
        <w:rPr>
          <w:spacing w:val="-1"/>
        </w:rPr>
        <w:t>engine</w:t>
      </w:r>
      <w:r w:rsidR="00392811">
        <w:rPr>
          <w:spacing w:val="-3"/>
        </w:rPr>
        <w:t xml:space="preserve"> </w:t>
      </w:r>
      <w:r w:rsidR="00392811">
        <w:t>with</w:t>
      </w:r>
      <w:r w:rsidR="00392811">
        <w:rPr>
          <w:spacing w:val="-3"/>
        </w:rPr>
        <w:t xml:space="preserve"> </w:t>
      </w:r>
      <w:r w:rsidR="00392811">
        <w:t>the</w:t>
      </w:r>
      <w:r w:rsidR="00155C23">
        <w:t xml:space="preserve"> </w:t>
      </w:r>
      <w:r w:rsidR="00392811">
        <w:rPr>
          <w:spacing w:val="-1"/>
        </w:rPr>
        <w:t>following</w:t>
      </w:r>
      <w:r w:rsidR="00392811">
        <w:rPr>
          <w:spacing w:val="-5"/>
        </w:rPr>
        <w:t xml:space="preserve"> </w:t>
      </w:r>
      <w:r w:rsidR="00392811">
        <w:rPr>
          <w:spacing w:val="-1"/>
        </w:rPr>
        <w:t>Microsoft</w:t>
      </w:r>
      <w:r w:rsidR="00392811">
        <w:rPr>
          <w:spacing w:val="-4"/>
        </w:rPr>
        <w:t xml:space="preserve"> </w:t>
      </w:r>
      <w:r w:rsidR="007B22BD">
        <w:rPr>
          <w:spacing w:val="-1"/>
        </w:rPr>
        <w:t>Dynamics 365 Finance and Operations</w:t>
      </w:r>
      <w:r w:rsidR="00392811">
        <w:rPr>
          <w:spacing w:val="-4"/>
        </w:rPr>
        <w:t xml:space="preserve"> </w:t>
      </w:r>
      <w:r w:rsidR="00392811">
        <w:rPr>
          <w:spacing w:val="-1"/>
        </w:rPr>
        <w:t>modules:</w:t>
      </w:r>
    </w:p>
    <w:p w:rsidR="00392811" w:rsidRDefault="00392811" w:rsidP="00392811">
      <w:pPr>
        <w:rPr>
          <w:rFonts w:ascii="Calibri" w:eastAsia="Calibri" w:hAnsi="Calibri" w:cs="Calibr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151654" w:rsidTr="00556802">
        <w:tc>
          <w:tcPr>
            <w:tcW w:w="4891" w:type="dxa"/>
            <w:vAlign w:val="center"/>
          </w:tcPr>
          <w:p w:rsidR="00151654" w:rsidRDefault="00151654" w:rsidP="0055680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Address Cleansing</w:t>
            </w:r>
          </w:p>
        </w:tc>
        <w:tc>
          <w:tcPr>
            <w:tcW w:w="4891" w:type="dxa"/>
          </w:tcPr>
          <w:p w:rsidR="00151654" w:rsidRDefault="00EE16D8" w:rsidP="00392811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Customer</w:t>
            </w:r>
          </w:p>
          <w:p w:rsidR="00EE16D8" w:rsidRDefault="00EE16D8" w:rsidP="00392811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Pre-Tax Calculation</w:t>
            </w:r>
          </w:p>
        </w:tc>
      </w:tr>
      <w:tr w:rsidR="00155C23" w:rsidTr="00556802">
        <w:tc>
          <w:tcPr>
            <w:tcW w:w="4891" w:type="dxa"/>
            <w:vAlign w:val="center"/>
          </w:tcPr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Retail</w:t>
            </w:r>
          </w:p>
        </w:tc>
        <w:tc>
          <w:tcPr>
            <w:tcW w:w="4891" w:type="dxa"/>
          </w:tcPr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Point of Sale</w:t>
            </w:r>
          </w:p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eCommerce</w:t>
            </w:r>
          </w:p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Failover</w:t>
            </w:r>
          </w:p>
        </w:tc>
      </w:tr>
      <w:tr w:rsidR="00155C23" w:rsidTr="00556802">
        <w:tc>
          <w:tcPr>
            <w:tcW w:w="4891" w:type="dxa"/>
            <w:vAlign w:val="center"/>
          </w:tcPr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Sales and Marketing Module</w:t>
            </w:r>
          </w:p>
        </w:tc>
        <w:tc>
          <w:tcPr>
            <w:tcW w:w="4891" w:type="dxa"/>
          </w:tcPr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Sales Order</w:t>
            </w:r>
          </w:p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Invoice</w:t>
            </w:r>
          </w:p>
          <w:p w:rsidR="00155C23" w:rsidRDefault="00155C23" w:rsidP="00155C2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Returns</w:t>
            </w:r>
          </w:p>
        </w:tc>
      </w:tr>
    </w:tbl>
    <w:p w:rsidR="00556802" w:rsidRDefault="00556802" w:rsidP="00392811">
      <w:pPr>
        <w:rPr>
          <w:rFonts w:ascii="Calibri" w:eastAsia="Calibri" w:hAnsi="Calibri" w:cs="Calibri"/>
          <w:sz w:val="26"/>
          <w:szCs w:val="26"/>
        </w:rPr>
      </w:pPr>
    </w:p>
    <w:p w:rsidR="00392811" w:rsidRPr="00D47B93" w:rsidRDefault="00392811" w:rsidP="00392811">
      <w:pPr>
        <w:pStyle w:val="Heading2"/>
        <w:spacing w:before="161"/>
        <w:rPr>
          <w:rFonts w:asciiTheme="minorHAnsi" w:hAnsiTheme="minorHAnsi"/>
          <w:b w:val="0"/>
          <w:bCs w:val="0"/>
        </w:rPr>
      </w:pPr>
      <w:bookmarkStart w:id="1" w:name="Components"/>
      <w:bookmarkStart w:id="2" w:name="_bookmark10"/>
      <w:bookmarkEnd w:id="1"/>
      <w:bookmarkEnd w:id="2"/>
      <w:r w:rsidRPr="00D47B93">
        <w:rPr>
          <w:rFonts w:asciiTheme="minorHAnsi" w:hAnsiTheme="minorHAnsi"/>
          <w:spacing w:val="-1"/>
        </w:rPr>
        <w:t>Components</w:t>
      </w:r>
    </w:p>
    <w:p w:rsidR="00392811" w:rsidRPr="00D47B93" w:rsidRDefault="00392811" w:rsidP="00D47B93">
      <w:pPr>
        <w:pStyle w:val="BodyText"/>
        <w:spacing w:before="121"/>
        <w:ind w:left="160" w:right="358"/>
        <w:rPr>
          <w:rFonts w:asciiTheme="minorHAnsi" w:hAnsiTheme="minorHAnsi"/>
        </w:rPr>
      </w:pPr>
      <w:r w:rsidRPr="00D47B93">
        <w:rPr>
          <w:rFonts w:asciiTheme="minorHAnsi" w:hAnsiTheme="minorHAnsi"/>
          <w:spacing w:val="-1"/>
        </w:rPr>
        <w:t>The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Vertex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Tax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Links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setup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uses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</w:rPr>
        <w:t>the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following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components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</w:rPr>
        <w:t>to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automate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address</w:t>
      </w:r>
      <w:r w:rsidR="00E040E9">
        <w:rPr>
          <w:rFonts w:asciiTheme="minorHAnsi" w:hAnsiTheme="minorHAnsi"/>
          <w:spacing w:val="71"/>
        </w:rPr>
        <w:t xml:space="preserve"> </w:t>
      </w:r>
      <w:r w:rsidRPr="00D47B93">
        <w:rPr>
          <w:rFonts w:asciiTheme="minorHAnsi" w:hAnsiTheme="minorHAnsi"/>
          <w:spacing w:val="-1"/>
        </w:rPr>
        <w:t>validation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(also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known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as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address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cleansing) and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sales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tax</w:t>
      </w:r>
      <w:r w:rsidRPr="00D47B93">
        <w:rPr>
          <w:rFonts w:asciiTheme="minorHAnsi" w:hAnsiTheme="minorHAnsi"/>
          <w:spacing w:val="-1"/>
        </w:rPr>
        <w:t xml:space="preserve"> calculation:</w:t>
      </w:r>
    </w:p>
    <w:p w:rsidR="00392811" w:rsidRPr="00D47B93" w:rsidRDefault="00392811" w:rsidP="00D47B93">
      <w:pPr>
        <w:widowControl w:val="0"/>
        <w:numPr>
          <w:ilvl w:val="0"/>
          <w:numId w:val="3"/>
        </w:numPr>
        <w:tabs>
          <w:tab w:val="left" w:pos="1960"/>
        </w:tabs>
        <w:spacing w:before="120"/>
        <w:ind w:left="520"/>
        <w:rPr>
          <w:rFonts w:asciiTheme="minorHAnsi" w:eastAsia="Calibri" w:hAnsiTheme="minorHAnsi" w:cs="Calibri"/>
        </w:rPr>
      </w:pP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Microsoft</w:t>
      </w:r>
      <w:r w:rsidRPr="00D47B93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 xml:space="preserve"> </w:t>
      </w: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Dynamics</w:t>
      </w:r>
      <w:r w:rsidRPr="00D47B93">
        <w:rPr>
          <w:rFonts w:asciiTheme="minorHAnsi" w:eastAsia="Arial" w:hAnsiTheme="minorHAnsi" w:cs="Arial"/>
          <w:b/>
          <w:bCs/>
          <w:spacing w:val="-2"/>
          <w:sz w:val="20"/>
          <w:szCs w:val="20"/>
        </w:rPr>
        <w:t xml:space="preserve"> </w:t>
      </w:r>
      <w:r w:rsidR="00151654">
        <w:rPr>
          <w:rFonts w:asciiTheme="minorHAnsi" w:eastAsia="Arial" w:hAnsiTheme="minorHAnsi" w:cs="Arial"/>
          <w:b/>
          <w:bCs/>
          <w:sz w:val="20"/>
          <w:szCs w:val="20"/>
        </w:rPr>
        <w:t>365</w:t>
      </w:r>
      <w:r w:rsidRPr="00D47B93">
        <w:rPr>
          <w:rFonts w:asciiTheme="minorHAnsi" w:eastAsia="Arial" w:hAnsiTheme="minorHAnsi" w:cs="Arial"/>
          <w:b/>
          <w:bCs/>
          <w:spacing w:val="-4"/>
          <w:sz w:val="20"/>
          <w:szCs w:val="20"/>
        </w:rPr>
        <w:t xml:space="preserve"> </w:t>
      </w:r>
      <w:r w:rsidRPr="00D47B93">
        <w:rPr>
          <w:rFonts w:asciiTheme="minorHAnsi" w:eastAsia="Calibri" w:hAnsiTheme="minorHAnsi" w:cs="Calibri"/>
        </w:rPr>
        <w:t>–</w:t>
      </w:r>
      <w:r w:rsidRPr="00D47B93">
        <w:rPr>
          <w:rFonts w:asciiTheme="minorHAnsi" w:eastAsia="Calibri" w:hAnsiTheme="minorHAnsi" w:cs="Calibri"/>
          <w:spacing w:val="-3"/>
        </w:rPr>
        <w:t xml:space="preserve"> </w:t>
      </w:r>
      <w:r w:rsidRPr="00D47B93">
        <w:rPr>
          <w:rFonts w:asciiTheme="minorHAnsi" w:eastAsia="Calibri" w:hAnsiTheme="minorHAnsi" w:cs="Calibri"/>
        </w:rPr>
        <w:t>An</w:t>
      </w:r>
      <w:r w:rsidRPr="00D47B93">
        <w:rPr>
          <w:rFonts w:asciiTheme="minorHAnsi" w:eastAsia="Calibri" w:hAnsiTheme="minorHAnsi" w:cs="Calibri"/>
          <w:spacing w:val="-2"/>
        </w:rPr>
        <w:t xml:space="preserve"> </w:t>
      </w:r>
      <w:r w:rsidRPr="00D47B93">
        <w:rPr>
          <w:rFonts w:asciiTheme="minorHAnsi" w:eastAsia="Calibri" w:hAnsiTheme="minorHAnsi" w:cs="Calibri"/>
          <w:spacing w:val="-1"/>
        </w:rPr>
        <w:t>application</w:t>
      </w:r>
      <w:r w:rsidRPr="00D47B93">
        <w:rPr>
          <w:rFonts w:asciiTheme="minorHAnsi" w:eastAsia="Calibri" w:hAnsiTheme="minorHAnsi" w:cs="Calibri"/>
          <w:spacing w:val="-2"/>
        </w:rPr>
        <w:t xml:space="preserve"> </w:t>
      </w:r>
      <w:r w:rsidRPr="00D47B93">
        <w:rPr>
          <w:rFonts w:asciiTheme="minorHAnsi" w:eastAsia="Calibri" w:hAnsiTheme="minorHAnsi" w:cs="Calibri"/>
        </w:rPr>
        <w:t>that</w:t>
      </w:r>
      <w:r w:rsidRPr="00D47B93">
        <w:rPr>
          <w:rFonts w:asciiTheme="minorHAnsi" w:eastAsia="Calibri" w:hAnsiTheme="minorHAnsi" w:cs="Calibri"/>
          <w:spacing w:val="-2"/>
        </w:rPr>
        <w:t xml:space="preserve"> </w:t>
      </w:r>
      <w:r w:rsidRPr="00D47B93">
        <w:rPr>
          <w:rFonts w:asciiTheme="minorHAnsi" w:eastAsia="Calibri" w:hAnsiTheme="minorHAnsi" w:cs="Calibri"/>
          <w:spacing w:val="-1"/>
        </w:rPr>
        <w:t>automates</w:t>
      </w:r>
      <w:r w:rsidRPr="00D47B93">
        <w:rPr>
          <w:rFonts w:asciiTheme="minorHAnsi" w:eastAsia="Calibri" w:hAnsiTheme="minorHAnsi" w:cs="Calibri"/>
          <w:spacing w:val="-3"/>
        </w:rPr>
        <w:t xml:space="preserve"> </w:t>
      </w:r>
      <w:r w:rsidRPr="00D47B93">
        <w:rPr>
          <w:rFonts w:asciiTheme="minorHAnsi" w:eastAsia="Calibri" w:hAnsiTheme="minorHAnsi" w:cs="Calibri"/>
          <w:spacing w:val="-1"/>
        </w:rPr>
        <w:t>your</w:t>
      </w:r>
      <w:r w:rsidRPr="00D47B93">
        <w:rPr>
          <w:rFonts w:asciiTheme="minorHAnsi" w:eastAsia="Calibri" w:hAnsiTheme="minorHAnsi" w:cs="Calibri"/>
          <w:spacing w:val="-3"/>
        </w:rPr>
        <w:t xml:space="preserve"> </w:t>
      </w:r>
      <w:r w:rsidRPr="00D47B93">
        <w:rPr>
          <w:rFonts w:asciiTheme="minorHAnsi" w:eastAsia="Calibri" w:hAnsiTheme="minorHAnsi" w:cs="Calibri"/>
        </w:rPr>
        <w:t>ERP</w:t>
      </w:r>
      <w:r w:rsidRPr="00D47B93">
        <w:rPr>
          <w:rFonts w:asciiTheme="minorHAnsi" w:eastAsia="Calibri" w:hAnsiTheme="minorHAnsi" w:cs="Calibri"/>
          <w:spacing w:val="-2"/>
        </w:rPr>
        <w:t xml:space="preserve"> </w:t>
      </w:r>
      <w:r w:rsidRPr="00D47B93">
        <w:rPr>
          <w:rFonts w:asciiTheme="minorHAnsi" w:eastAsia="Calibri" w:hAnsiTheme="minorHAnsi" w:cs="Calibri"/>
          <w:spacing w:val="-1"/>
        </w:rPr>
        <w:t>processes.</w:t>
      </w:r>
    </w:p>
    <w:p w:rsidR="00392811" w:rsidRPr="00D47B93" w:rsidRDefault="00392811" w:rsidP="00D47B93">
      <w:pPr>
        <w:pStyle w:val="BodyText"/>
        <w:numPr>
          <w:ilvl w:val="0"/>
          <w:numId w:val="3"/>
        </w:numPr>
        <w:tabs>
          <w:tab w:val="left" w:pos="1960"/>
        </w:tabs>
        <w:spacing w:before="38"/>
        <w:ind w:left="520" w:right="358"/>
        <w:rPr>
          <w:rFonts w:asciiTheme="minorHAnsi" w:hAnsiTheme="minorHAnsi"/>
        </w:rPr>
      </w:pP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Vertex</w:t>
      </w:r>
      <w:r w:rsidRPr="00D47B93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 xml:space="preserve"> </w:t>
      </w: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Tax</w:t>
      </w:r>
      <w:r w:rsidRPr="00D47B93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 xml:space="preserve"> </w:t>
      </w: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Links</w:t>
      </w:r>
      <w:r w:rsidR="00E040E9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 xml:space="preserve"> for D365 Finance and Operations</w:t>
      </w:r>
      <w:r w:rsidRPr="00D47B93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 xml:space="preserve"> </w:t>
      </w:r>
      <w:r w:rsidRPr="00D47B93">
        <w:rPr>
          <w:rFonts w:asciiTheme="minorHAnsi" w:hAnsiTheme="minorHAnsi"/>
        </w:rPr>
        <w:t>–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A</w:t>
      </w:r>
      <w:r w:rsidRPr="00D47B93">
        <w:rPr>
          <w:rFonts w:asciiTheme="minorHAnsi" w:hAnsiTheme="minorHAnsi"/>
          <w:spacing w:val="-1"/>
        </w:rPr>
        <w:t xml:space="preserve"> connector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that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links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 xml:space="preserve">your </w:t>
      </w:r>
      <w:r w:rsidR="00151654">
        <w:rPr>
          <w:rFonts w:asciiTheme="minorHAnsi" w:hAnsiTheme="minorHAnsi"/>
          <w:spacing w:val="-1"/>
        </w:rPr>
        <w:t>Dynamics 365 Finance and Operations</w:t>
      </w:r>
      <w:r w:rsidR="009653CD">
        <w:rPr>
          <w:rFonts w:asciiTheme="minorHAnsi" w:hAnsiTheme="minorHAnsi"/>
          <w:spacing w:val="-1"/>
        </w:rPr>
        <w:t xml:space="preserve"> </w:t>
      </w:r>
      <w:r w:rsidRPr="00D47B93">
        <w:rPr>
          <w:rFonts w:asciiTheme="minorHAnsi" w:hAnsiTheme="minorHAnsi"/>
        </w:rPr>
        <w:t>with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</w:rPr>
        <w:t>the</w:t>
      </w:r>
      <w:r w:rsidRPr="00D47B93">
        <w:rPr>
          <w:rFonts w:asciiTheme="minorHAnsi" w:hAnsiTheme="minorHAnsi"/>
          <w:spacing w:val="-1"/>
        </w:rPr>
        <w:t xml:space="preserve"> </w:t>
      </w:r>
      <w:r w:rsidR="00E040E9">
        <w:rPr>
          <w:rFonts w:asciiTheme="minorHAnsi" w:hAnsiTheme="minorHAnsi"/>
          <w:spacing w:val="-1"/>
        </w:rPr>
        <w:t xml:space="preserve">Vertex Cloud or </w:t>
      </w:r>
      <w:r w:rsidRPr="00D47B93">
        <w:rPr>
          <w:rFonts w:asciiTheme="minorHAnsi" w:hAnsiTheme="minorHAnsi"/>
          <w:spacing w:val="-1"/>
        </w:rPr>
        <w:t>Vertex</w:t>
      </w:r>
      <w:r w:rsidR="00E040E9">
        <w:rPr>
          <w:rFonts w:asciiTheme="minorHAnsi" w:hAnsiTheme="minorHAnsi"/>
          <w:spacing w:val="59"/>
        </w:rPr>
        <w:t xml:space="preserve"> </w:t>
      </w:r>
      <w:r w:rsidRPr="00D47B93">
        <w:rPr>
          <w:rFonts w:asciiTheme="minorHAnsi" w:hAnsiTheme="minorHAnsi"/>
        </w:rPr>
        <w:t>O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</w:rPr>
        <w:t>Series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</w:rPr>
        <w:t>tax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engine.</w:t>
      </w:r>
    </w:p>
    <w:p w:rsidR="00392811" w:rsidRPr="00D47B93" w:rsidRDefault="00392811" w:rsidP="00D47B93">
      <w:pPr>
        <w:pStyle w:val="BodyText"/>
        <w:numPr>
          <w:ilvl w:val="0"/>
          <w:numId w:val="3"/>
        </w:numPr>
        <w:tabs>
          <w:tab w:val="left" w:pos="1960"/>
        </w:tabs>
        <w:spacing w:before="38"/>
        <w:ind w:left="520" w:right="228"/>
        <w:rPr>
          <w:rFonts w:asciiTheme="minorHAnsi" w:hAnsiTheme="minorHAnsi"/>
        </w:rPr>
      </w:pP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Vertex</w:t>
      </w:r>
      <w:r w:rsidRPr="00D47B93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 xml:space="preserve"> </w:t>
      </w:r>
      <w:r w:rsidRPr="00D47B93">
        <w:rPr>
          <w:rFonts w:asciiTheme="minorHAnsi" w:eastAsia="Arial" w:hAnsiTheme="minorHAnsi" w:cs="Arial"/>
          <w:b/>
          <w:bCs/>
          <w:sz w:val="20"/>
          <w:szCs w:val="20"/>
        </w:rPr>
        <w:t>O</w:t>
      </w:r>
      <w:r w:rsidRPr="00D47B93">
        <w:rPr>
          <w:rFonts w:asciiTheme="minorHAnsi" w:eastAsia="Arial" w:hAnsiTheme="minorHAnsi" w:cs="Arial"/>
          <w:b/>
          <w:bCs/>
          <w:spacing w:val="-2"/>
          <w:sz w:val="20"/>
          <w:szCs w:val="20"/>
        </w:rPr>
        <w:t xml:space="preserve"> </w:t>
      </w: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Series</w:t>
      </w:r>
      <w:r w:rsidRPr="00D47B93">
        <w:rPr>
          <w:rFonts w:asciiTheme="minorHAnsi" w:eastAsia="Arial" w:hAnsiTheme="minorHAnsi" w:cs="Arial"/>
          <w:b/>
          <w:bCs/>
          <w:spacing w:val="-4"/>
          <w:sz w:val="20"/>
          <w:szCs w:val="20"/>
        </w:rPr>
        <w:t xml:space="preserve"> </w:t>
      </w:r>
      <w:r w:rsidRPr="00D47B93">
        <w:rPr>
          <w:rFonts w:asciiTheme="minorHAnsi" w:hAnsiTheme="minorHAnsi"/>
        </w:rPr>
        <w:t>–</w:t>
      </w:r>
      <w:r w:rsidRPr="00D47B93">
        <w:rPr>
          <w:rFonts w:asciiTheme="minorHAnsi" w:hAnsiTheme="minorHAnsi"/>
          <w:spacing w:val="-1"/>
        </w:rPr>
        <w:t xml:space="preserve"> </w:t>
      </w:r>
      <w:r w:rsidRPr="00D47B93">
        <w:rPr>
          <w:rFonts w:asciiTheme="minorHAnsi" w:hAnsiTheme="minorHAnsi"/>
        </w:rPr>
        <w:t>A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tax</w:t>
      </w:r>
      <w:r w:rsidRPr="00D47B93">
        <w:rPr>
          <w:rFonts w:asciiTheme="minorHAnsi" w:hAnsiTheme="minorHAnsi"/>
          <w:spacing w:val="-1"/>
        </w:rPr>
        <w:t xml:space="preserve"> engine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that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validates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ship-to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addresses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and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calculates</w:t>
      </w:r>
      <w:r w:rsidR="00E040E9">
        <w:rPr>
          <w:rFonts w:asciiTheme="minorHAnsi" w:hAnsiTheme="minorHAnsi"/>
          <w:spacing w:val="67"/>
        </w:rPr>
        <w:t xml:space="preserve"> </w:t>
      </w:r>
      <w:r w:rsidRPr="00D47B93">
        <w:rPr>
          <w:rFonts w:asciiTheme="minorHAnsi" w:hAnsiTheme="minorHAnsi"/>
          <w:spacing w:val="-1"/>
        </w:rPr>
        <w:t>sales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tax</w:t>
      </w:r>
      <w:r w:rsidR="00E040E9">
        <w:rPr>
          <w:rFonts w:asciiTheme="minorHAnsi" w:hAnsiTheme="minorHAnsi"/>
        </w:rPr>
        <w:t xml:space="preserve"> (powers the Vertex Cloud)</w:t>
      </w:r>
    </w:p>
    <w:p w:rsidR="00392811" w:rsidRPr="00D47B93" w:rsidRDefault="00392811" w:rsidP="00D47B93">
      <w:pPr>
        <w:pStyle w:val="BodyText"/>
        <w:numPr>
          <w:ilvl w:val="0"/>
          <w:numId w:val="3"/>
        </w:numPr>
        <w:tabs>
          <w:tab w:val="left" w:pos="1960"/>
        </w:tabs>
        <w:spacing w:before="40"/>
        <w:ind w:left="520" w:right="358"/>
        <w:rPr>
          <w:rFonts w:asciiTheme="minorHAnsi" w:hAnsiTheme="minorHAnsi"/>
        </w:rPr>
      </w:pPr>
      <w:r w:rsidRPr="00D47B93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Vertex</w:t>
      </w:r>
      <w:r w:rsidRPr="00D47B93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 xml:space="preserve"> </w:t>
      </w:r>
      <w:r w:rsidR="00E040E9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Cloud</w:t>
      </w:r>
      <w:r w:rsidRPr="00D47B93">
        <w:rPr>
          <w:rFonts w:asciiTheme="minorHAnsi" w:eastAsia="Arial" w:hAnsiTheme="minorHAnsi" w:cs="Arial"/>
          <w:b/>
          <w:bCs/>
          <w:spacing w:val="-5"/>
          <w:sz w:val="20"/>
          <w:szCs w:val="20"/>
        </w:rPr>
        <w:t xml:space="preserve"> </w:t>
      </w:r>
      <w:r w:rsidRPr="00D47B93">
        <w:rPr>
          <w:rFonts w:asciiTheme="minorHAnsi" w:hAnsiTheme="minorHAnsi"/>
        </w:rPr>
        <w:t>–</w:t>
      </w:r>
      <w:r w:rsidRPr="00D47B93">
        <w:rPr>
          <w:rFonts w:asciiTheme="minorHAnsi" w:hAnsiTheme="minorHAnsi"/>
          <w:spacing w:val="-1"/>
        </w:rPr>
        <w:t xml:space="preserve"> </w:t>
      </w:r>
      <w:r w:rsidRPr="00D47B93">
        <w:rPr>
          <w:rFonts w:asciiTheme="minorHAnsi" w:hAnsiTheme="minorHAnsi"/>
        </w:rPr>
        <w:t>A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portal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</w:rPr>
        <w:t>to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the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 xml:space="preserve">Vertex </w:t>
      </w:r>
      <w:r w:rsidRPr="00D47B93">
        <w:rPr>
          <w:rFonts w:asciiTheme="minorHAnsi" w:hAnsiTheme="minorHAnsi"/>
        </w:rPr>
        <w:t>O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Series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</w:rPr>
        <w:t>tax</w:t>
      </w:r>
      <w:r w:rsidRPr="00D47B93">
        <w:rPr>
          <w:rFonts w:asciiTheme="minorHAnsi" w:hAnsiTheme="minorHAnsi"/>
          <w:spacing w:val="-1"/>
        </w:rPr>
        <w:t xml:space="preserve"> engine.</w:t>
      </w:r>
      <w:r w:rsidRPr="00D47B93">
        <w:rPr>
          <w:rFonts w:asciiTheme="minorHAnsi" w:hAnsiTheme="minorHAnsi"/>
          <w:spacing w:val="-3"/>
        </w:rPr>
        <w:t xml:space="preserve"> </w:t>
      </w:r>
      <w:r w:rsidR="00E040E9">
        <w:rPr>
          <w:rFonts w:asciiTheme="minorHAnsi" w:hAnsiTheme="minorHAnsi"/>
          <w:spacing w:val="-1"/>
        </w:rPr>
        <w:t>Vertex Cloud</w:t>
      </w:r>
      <w:r w:rsidRPr="00D47B93">
        <w:rPr>
          <w:rFonts w:asciiTheme="minorHAnsi" w:hAnsiTheme="minorHAnsi"/>
          <w:spacing w:val="67"/>
        </w:rPr>
        <w:t xml:space="preserve"> </w:t>
      </w:r>
      <w:r w:rsidRPr="00D47B93">
        <w:rPr>
          <w:rFonts w:asciiTheme="minorHAnsi" w:hAnsiTheme="minorHAnsi"/>
          <w:spacing w:val="-1"/>
        </w:rPr>
        <w:t>provides</w:t>
      </w:r>
      <w:r w:rsidRPr="00D47B93">
        <w:rPr>
          <w:rFonts w:asciiTheme="minorHAnsi" w:hAnsiTheme="minorHAnsi"/>
          <w:spacing w:val="-6"/>
        </w:rPr>
        <w:t xml:space="preserve"> </w:t>
      </w:r>
      <w:r w:rsidRPr="00D47B93">
        <w:rPr>
          <w:rFonts w:asciiTheme="minorHAnsi" w:hAnsiTheme="minorHAnsi"/>
        </w:rPr>
        <w:t>an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  <w:spacing w:val="-1"/>
        </w:rPr>
        <w:t>interface</w:t>
      </w:r>
      <w:r w:rsidRPr="00D47B93">
        <w:rPr>
          <w:rFonts w:asciiTheme="minorHAnsi" w:hAnsiTheme="minorHAnsi"/>
          <w:spacing w:val="-5"/>
        </w:rPr>
        <w:t xml:space="preserve"> </w:t>
      </w:r>
      <w:r w:rsidRPr="00D47B93">
        <w:rPr>
          <w:rFonts w:asciiTheme="minorHAnsi" w:hAnsiTheme="minorHAnsi"/>
          <w:spacing w:val="-1"/>
        </w:rPr>
        <w:t>for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  <w:spacing w:val="-1"/>
        </w:rPr>
        <w:t>configuring</w:t>
      </w:r>
      <w:r w:rsidRPr="00D47B93">
        <w:rPr>
          <w:rFonts w:asciiTheme="minorHAnsi" w:hAnsiTheme="minorHAnsi"/>
          <w:spacing w:val="-5"/>
        </w:rPr>
        <w:t xml:space="preserve"> </w:t>
      </w:r>
      <w:r w:rsidRPr="00D47B93">
        <w:rPr>
          <w:rFonts w:asciiTheme="minorHAnsi" w:hAnsiTheme="minorHAnsi"/>
          <w:spacing w:val="-1"/>
        </w:rPr>
        <w:t>the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  <w:spacing w:val="-1"/>
        </w:rPr>
        <w:t>registrations,</w:t>
      </w:r>
      <w:r w:rsidRPr="00D47B93">
        <w:rPr>
          <w:rFonts w:asciiTheme="minorHAnsi" w:hAnsiTheme="minorHAnsi"/>
          <w:spacing w:val="-5"/>
        </w:rPr>
        <w:t xml:space="preserve"> </w:t>
      </w:r>
      <w:r w:rsidRPr="00D47B93">
        <w:rPr>
          <w:rFonts w:asciiTheme="minorHAnsi" w:hAnsiTheme="minorHAnsi"/>
          <w:spacing w:val="-1"/>
        </w:rPr>
        <w:t>products,</w:t>
      </w:r>
      <w:r w:rsidRPr="00D47B93">
        <w:rPr>
          <w:rFonts w:asciiTheme="minorHAnsi" w:hAnsiTheme="minorHAnsi"/>
          <w:spacing w:val="-6"/>
        </w:rPr>
        <w:t xml:space="preserve"> </w:t>
      </w:r>
      <w:r w:rsidRPr="00D47B93">
        <w:rPr>
          <w:rFonts w:asciiTheme="minorHAnsi" w:hAnsiTheme="minorHAnsi"/>
          <w:spacing w:val="-1"/>
        </w:rPr>
        <w:t>categories,</w:t>
      </w:r>
      <w:r w:rsidRPr="00D47B93">
        <w:rPr>
          <w:rFonts w:asciiTheme="minorHAnsi" w:hAnsiTheme="minorHAnsi"/>
          <w:spacing w:val="73"/>
          <w:w w:val="99"/>
        </w:rPr>
        <w:t xml:space="preserve"> </w:t>
      </w:r>
      <w:r w:rsidRPr="00D47B93">
        <w:rPr>
          <w:rFonts w:asciiTheme="minorHAnsi" w:hAnsiTheme="minorHAnsi"/>
          <w:spacing w:val="-1"/>
        </w:rPr>
        <w:t>and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  <w:spacing w:val="-1"/>
        </w:rPr>
        <w:t>customer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exceptions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</w:rPr>
        <w:t>that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support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</w:rPr>
        <w:t>the</w:t>
      </w:r>
      <w:r w:rsidRPr="00D47B93">
        <w:rPr>
          <w:rFonts w:asciiTheme="minorHAnsi" w:hAnsiTheme="minorHAnsi"/>
          <w:spacing w:val="-3"/>
        </w:rPr>
        <w:t xml:space="preserve"> </w:t>
      </w:r>
      <w:r w:rsidRPr="00D47B93">
        <w:rPr>
          <w:rFonts w:asciiTheme="minorHAnsi" w:hAnsiTheme="minorHAnsi"/>
          <w:spacing w:val="-1"/>
        </w:rPr>
        <w:t>Vertex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</w:rPr>
        <w:t>O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</w:rPr>
        <w:t>Series</w:t>
      </w:r>
      <w:r w:rsidRPr="00D47B93">
        <w:rPr>
          <w:rFonts w:asciiTheme="minorHAnsi" w:hAnsiTheme="minorHAnsi"/>
          <w:spacing w:val="-4"/>
        </w:rPr>
        <w:t xml:space="preserve"> </w:t>
      </w:r>
      <w:r w:rsidRPr="00D47B93">
        <w:rPr>
          <w:rFonts w:asciiTheme="minorHAnsi" w:hAnsiTheme="minorHAnsi"/>
          <w:spacing w:val="-1"/>
        </w:rPr>
        <w:t>tax</w:t>
      </w:r>
      <w:r w:rsidRPr="00D47B93">
        <w:rPr>
          <w:rFonts w:asciiTheme="minorHAnsi" w:hAnsiTheme="minorHAnsi"/>
          <w:spacing w:val="-2"/>
        </w:rPr>
        <w:t xml:space="preserve"> </w:t>
      </w:r>
      <w:r w:rsidRPr="00D47B93">
        <w:rPr>
          <w:rFonts w:asciiTheme="minorHAnsi" w:hAnsiTheme="minorHAnsi"/>
          <w:spacing w:val="-1"/>
        </w:rPr>
        <w:t>engine.</w:t>
      </w:r>
    </w:p>
    <w:p w:rsidR="00D47B93" w:rsidRPr="00D47B93" w:rsidRDefault="00D47B93" w:rsidP="00D47B93">
      <w:pPr>
        <w:pStyle w:val="BodyText"/>
        <w:tabs>
          <w:tab w:val="left" w:pos="1960"/>
        </w:tabs>
        <w:spacing w:before="40"/>
        <w:ind w:left="520" w:right="358"/>
        <w:rPr>
          <w:rFonts w:asciiTheme="minorHAnsi" w:hAnsiTheme="minorHAnsi"/>
        </w:rPr>
      </w:pPr>
    </w:p>
    <w:p w:rsidR="00392811" w:rsidRPr="00D47B93" w:rsidRDefault="00392811" w:rsidP="00392811">
      <w:pPr>
        <w:spacing w:before="4"/>
        <w:rPr>
          <w:rFonts w:asciiTheme="minorHAnsi" w:eastAsia="Calibri" w:hAnsiTheme="minorHAnsi" w:cs="Calibri"/>
          <w:sz w:val="3"/>
          <w:szCs w:val="3"/>
        </w:rPr>
      </w:pPr>
    </w:p>
    <w:p w:rsidR="00392811" w:rsidRDefault="00151654" w:rsidP="00151654">
      <w:pPr>
        <w:spacing w:line="200" w:lineRule="atLeast"/>
        <w:ind w:left="160"/>
        <w:jc w:val="center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447399">
            <wp:simplePos x="0" y="0"/>
            <wp:positionH relativeFrom="page">
              <wp:align>center</wp:align>
            </wp:positionH>
            <wp:positionV relativeFrom="paragraph">
              <wp:posOffset>251460</wp:posOffset>
            </wp:positionV>
            <wp:extent cx="3246120" cy="122618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B0" w:rsidRPr="00D47B93" w:rsidRDefault="00165BB0" w:rsidP="00165BB0">
      <w:pPr>
        <w:spacing w:line="200" w:lineRule="atLeast"/>
        <w:ind w:left="160"/>
        <w:jc w:val="center"/>
        <w:rPr>
          <w:rFonts w:asciiTheme="minorHAnsi" w:eastAsia="Calibri" w:hAnsiTheme="minorHAnsi" w:cs="Calibri"/>
          <w:sz w:val="20"/>
          <w:szCs w:val="20"/>
        </w:rPr>
      </w:pPr>
    </w:p>
    <w:p w:rsidR="00E040E9" w:rsidRDefault="00F34D83" w:rsidP="00D47B93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Sales transactions created in your eCommerce or </w:t>
      </w:r>
      <w:r w:rsidR="00FE6127">
        <w:rPr>
          <w:rFonts w:asciiTheme="minorHAnsi" w:hAnsiTheme="minorHAnsi"/>
        </w:rPr>
        <w:t>POS system can be configured to use Vertex to cleanse addresses and calculate tax in the Retail module</w:t>
      </w:r>
    </w:p>
    <w:p w:rsidR="007B6BA9" w:rsidRPr="00B812C2" w:rsidRDefault="007B6BA9" w:rsidP="007B6BA9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 w:rsidRPr="00407661">
        <w:rPr>
          <w:rFonts w:asciiTheme="minorHAnsi" w:hAnsiTheme="minorHAnsi"/>
        </w:rPr>
        <w:lastRenderedPageBreak/>
        <w:t xml:space="preserve">The </w:t>
      </w:r>
      <w:r w:rsidRPr="00D47B93">
        <w:rPr>
          <w:rFonts w:asciiTheme="minorHAnsi" w:hAnsiTheme="minorHAnsi"/>
        </w:rPr>
        <w:t>O</w:t>
      </w:r>
      <w:r w:rsidRPr="00407661">
        <w:rPr>
          <w:rFonts w:asciiTheme="minorHAnsi" w:hAnsiTheme="minorHAnsi"/>
        </w:rPr>
        <w:t xml:space="preserve"> </w:t>
      </w:r>
      <w:r w:rsidRPr="00D47B93">
        <w:rPr>
          <w:rFonts w:asciiTheme="minorHAnsi" w:hAnsiTheme="minorHAnsi"/>
        </w:rPr>
        <w:t>Series</w:t>
      </w:r>
      <w:r w:rsidRPr="00407661">
        <w:rPr>
          <w:rFonts w:asciiTheme="minorHAnsi" w:hAnsiTheme="minorHAnsi"/>
        </w:rPr>
        <w:t xml:space="preserve"> </w:t>
      </w:r>
      <w:r w:rsidRPr="00D47B93">
        <w:rPr>
          <w:rFonts w:asciiTheme="minorHAnsi" w:hAnsiTheme="minorHAnsi"/>
        </w:rPr>
        <w:t>tax</w:t>
      </w:r>
      <w:r w:rsidRPr="00407661">
        <w:rPr>
          <w:rFonts w:asciiTheme="minorHAnsi" w:hAnsiTheme="minorHAnsi"/>
        </w:rPr>
        <w:t xml:space="preserve"> engine cleanses </w:t>
      </w:r>
      <w:r w:rsidRPr="00D47B93">
        <w:rPr>
          <w:rFonts w:asciiTheme="minorHAnsi" w:hAnsiTheme="minorHAnsi"/>
        </w:rPr>
        <w:t>the</w:t>
      </w:r>
      <w:r w:rsidRPr="00407661">
        <w:rPr>
          <w:rFonts w:asciiTheme="minorHAnsi" w:hAnsiTheme="minorHAnsi"/>
        </w:rPr>
        <w:t xml:space="preserve"> ship-to address, calculates </w:t>
      </w:r>
      <w:r w:rsidRPr="00D47B93">
        <w:rPr>
          <w:rFonts w:asciiTheme="minorHAnsi" w:hAnsiTheme="minorHAnsi"/>
        </w:rPr>
        <w:t>the</w:t>
      </w:r>
      <w:r w:rsidRPr="00407661">
        <w:rPr>
          <w:rFonts w:asciiTheme="minorHAnsi" w:hAnsiTheme="minorHAnsi"/>
        </w:rPr>
        <w:t xml:space="preserve"> sales </w:t>
      </w:r>
      <w:r w:rsidRPr="00D47B93">
        <w:rPr>
          <w:rFonts w:asciiTheme="minorHAnsi" w:hAnsiTheme="minorHAnsi"/>
        </w:rPr>
        <w:t>tax,</w:t>
      </w:r>
      <w:r w:rsidRPr="00407661">
        <w:rPr>
          <w:rFonts w:asciiTheme="minorHAnsi" w:hAnsiTheme="minorHAnsi"/>
        </w:rPr>
        <w:t xml:space="preserve"> and sends </w:t>
      </w:r>
      <w:r w:rsidRPr="00D47B93">
        <w:rPr>
          <w:rFonts w:asciiTheme="minorHAnsi" w:hAnsiTheme="minorHAnsi"/>
        </w:rPr>
        <w:t>an</w:t>
      </w:r>
      <w:r w:rsidRPr="00407661">
        <w:rPr>
          <w:rFonts w:asciiTheme="minorHAnsi" w:hAnsiTheme="minorHAnsi"/>
        </w:rPr>
        <w:t xml:space="preserve"> </w:t>
      </w:r>
      <w:r w:rsidRPr="00D47B93">
        <w:rPr>
          <w:rFonts w:asciiTheme="minorHAnsi" w:hAnsiTheme="minorHAnsi"/>
        </w:rPr>
        <w:t>XML</w:t>
      </w:r>
      <w:r w:rsidRPr="00407661">
        <w:rPr>
          <w:rFonts w:asciiTheme="minorHAnsi" w:hAnsiTheme="minorHAnsi"/>
        </w:rPr>
        <w:t xml:space="preserve"> response message back through Tax Links </w:t>
      </w:r>
      <w:r w:rsidRPr="00D47B93">
        <w:rPr>
          <w:rFonts w:asciiTheme="minorHAnsi" w:hAnsiTheme="minorHAnsi"/>
        </w:rPr>
        <w:t>to</w:t>
      </w:r>
      <w:r w:rsidRPr="00407661">
        <w:rPr>
          <w:rFonts w:asciiTheme="minorHAnsi" w:hAnsiTheme="minorHAnsi"/>
        </w:rPr>
        <w:t xml:space="preserve"> the Retail module</w:t>
      </w:r>
      <w:r w:rsidRPr="00407661">
        <w:rPr>
          <w:rFonts w:asciiTheme="minorHAnsi" w:hAnsiTheme="minorHAnsi"/>
        </w:rPr>
        <w:t>.</w:t>
      </w:r>
    </w:p>
    <w:p w:rsidR="007B6BA9" w:rsidRPr="00407661" w:rsidRDefault="007B6BA9" w:rsidP="00407661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 w:rsidRPr="00B812C2">
        <w:rPr>
          <w:rFonts w:asciiTheme="minorHAnsi" w:hAnsiTheme="minorHAnsi"/>
        </w:rPr>
        <w:t>Address Cleansing is provided by the Vertex integration, as a correct address is critical in ensuring the correct tax jurisdiction is used in calculating the appropriate sales or use tax. This is not a batch or one-time feature.</w:t>
      </w:r>
    </w:p>
    <w:p w:rsidR="00FE6127" w:rsidRDefault="00FE6127" w:rsidP="00D47B93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>
        <w:rPr>
          <w:rFonts w:asciiTheme="minorHAnsi" w:hAnsiTheme="minorHAnsi"/>
        </w:rPr>
        <w:t>Retail sales transactions can be uploaded to D365 Finance and Operations via a custom Vertex batch process delivered as part of Tax Links for Microsoft D365 for Retail</w:t>
      </w:r>
    </w:p>
    <w:p w:rsidR="00FE6127" w:rsidRDefault="007B6BA9" w:rsidP="00D47B93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>
        <w:rPr>
          <w:rFonts w:asciiTheme="minorHAnsi" w:hAnsiTheme="minorHAnsi"/>
        </w:rPr>
        <w:t>Uploaded retail transaction</w:t>
      </w:r>
      <w:r w:rsidR="0040766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create a sales order and invoice either by sales transactions or in aggregate by session</w:t>
      </w:r>
    </w:p>
    <w:p w:rsidR="007B6BA9" w:rsidRDefault="00407661" w:rsidP="00D47B93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>
        <w:rPr>
          <w:rFonts w:asciiTheme="minorHAnsi" w:hAnsiTheme="minorHAnsi"/>
        </w:rPr>
        <w:t>Invoiced retail transactions reflect posted sales tax by product and jurisdiction</w:t>
      </w:r>
    </w:p>
    <w:p w:rsidR="00407661" w:rsidRDefault="00407661" w:rsidP="00D47B93">
      <w:pPr>
        <w:pStyle w:val="BodyText"/>
        <w:numPr>
          <w:ilvl w:val="0"/>
          <w:numId w:val="4"/>
        </w:numPr>
        <w:spacing w:before="58"/>
        <w:ind w:right="304"/>
        <w:rPr>
          <w:rFonts w:asciiTheme="minorHAnsi" w:hAnsiTheme="minorHAnsi"/>
        </w:rPr>
      </w:pPr>
      <w:r>
        <w:rPr>
          <w:rFonts w:asciiTheme="minorHAnsi" w:hAnsiTheme="minorHAnsi"/>
        </w:rPr>
        <w:t>Last run our custom distribution batch job that posts the invoiced tax details to Vertex’s tax journals for future tax return preparation; you can file your own returns or Vertex can provide the service for you</w:t>
      </w:r>
      <w:bookmarkStart w:id="3" w:name="_GoBack"/>
      <w:bookmarkEnd w:id="3"/>
      <w:r>
        <w:rPr>
          <w:rFonts w:asciiTheme="minorHAnsi" w:hAnsiTheme="minorHAnsi"/>
        </w:rPr>
        <w:t xml:space="preserve"> </w:t>
      </w:r>
    </w:p>
    <w:p w:rsidR="00E66839" w:rsidRDefault="00E66839" w:rsidP="00E66839">
      <w:pPr>
        <w:pStyle w:val="BodyText"/>
        <w:spacing w:before="58"/>
        <w:ind w:right="304"/>
        <w:rPr>
          <w:rFonts w:asciiTheme="minorHAnsi" w:hAnsiTheme="minorHAnsi"/>
        </w:rPr>
      </w:pPr>
    </w:p>
    <w:p w:rsidR="00E66839" w:rsidRDefault="00E66839" w:rsidP="00E66839">
      <w:pPr>
        <w:pStyle w:val="Heading2"/>
        <w:spacing w:before="16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Supported Versions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3705"/>
        <w:gridCol w:w="5897"/>
      </w:tblGrid>
      <w:tr w:rsidR="004C1B49" w:rsidTr="004C1B49">
        <w:trPr>
          <w:trHeight w:val="548"/>
        </w:trPr>
        <w:tc>
          <w:tcPr>
            <w:tcW w:w="3705" w:type="dxa"/>
            <w:shd w:val="clear" w:color="auto" w:fill="44546A" w:themeFill="text2"/>
            <w:vAlign w:val="center"/>
          </w:tcPr>
          <w:p w:rsidR="004C1B49" w:rsidRPr="00E66839" w:rsidRDefault="004C1B49" w:rsidP="004C1B49">
            <w:pPr>
              <w:pStyle w:val="BodyText"/>
              <w:spacing w:before="58"/>
              <w:ind w:left="360" w:right="304"/>
              <w:rPr>
                <w:rFonts w:asciiTheme="minorHAnsi" w:hAnsiTheme="minorHAnsi"/>
                <w:b/>
                <w:color w:val="FFFFFF" w:themeColor="background1"/>
              </w:rPr>
            </w:pPr>
            <w:r w:rsidRPr="00E66839">
              <w:rPr>
                <w:rFonts w:asciiTheme="minorHAnsi" w:hAnsiTheme="minorHAnsi"/>
                <w:b/>
                <w:color w:val="FFFFFF" w:themeColor="background1"/>
              </w:rPr>
              <w:t>D365 Retail</w:t>
            </w:r>
          </w:p>
        </w:tc>
        <w:tc>
          <w:tcPr>
            <w:tcW w:w="5897" w:type="dxa"/>
            <w:shd w:val="clear" w:color="auto" w:fill="auto"/>
          </w:tcPr>
          <w:p w:rsidR="004C1B49" w:rsidRDefault="004C1B49" w:rsidP="004C1B49">
            <w:pPr>
              <w:pStyle w:val="BodyText"/>
              <w:numPr>
                <w:ilvl w:val="0"/>
                <w:numId w:val="8"/>
              </w:numPr>
              <w:spacing w:before="58"/>
              <w:ind w:right="304"/>
              <w:rPr>
                <w:rFonts w:asciiTheme="minorHAnsi" w:hAnsiTheme="minorHAnsi"/>
              </w:rPr>
            </w:pPr>
            <w:r w:rsidRPr="00E66839">
              <w:rPr>
                <w:rFonts w:asciiTheme="minorHAnsi" w:hAnsiTheme="minorHAnsi"/>
              </w:rPr>
              <w:t xml:space="preserve">D365 </w:t>
            </w:r>
            <w:r w:rsidR="00EE16D8">
              <w:rPr>
                <w:rFonts w:asciiTheme="minorHAnsi" w:hAnsiTheme="minorHAnsi"/>
              </w:rPr>
              <w:t>Retail</w:t>
            </w:r>
            <w:r w:rsidRPr="00E66839">
              <w:rPr>
                <w:rFonts w:asciiTheme="minorHAnsi" w:hAnsiTheme="minorHAnsi"/>
              </w:rPr>
              <w:t xml:space="preserve"> </w:t>
            </w:r>
            <w:r w:rsidR="00EE16D8">
              <w:rPr>
                <w:rFonts w:asciiTheme="minorHAnsi" w:hAnsiTheme="minorHAnsi"/>
              </w:rPr>
              <w:t>8.0, 8.1</w:t>
            </w:r>
          </w:p>
          <w:p w:rsidR="004C1B49" w:rsidRDefault="004C1B49" w:rsidP="004C1B49">
            <w:pPr>
              <w:pStyle w:val="BodyText"/>
              <w:numPr>
                <w:ilvl w:val="0"/>
                <w:numId w:val="8"/>
              </w:numPr>
              <w:spacing w:before="58"/>
              <w:ind w:right="3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D365 Finance and Operations</w:t>
            </w:r>
            <w:r w:rsidR="00EE16D8">
              <w:rPr>
                <w:rFonts w:asciiTheme="minorHAnsi" w:hAnsiTheme="minorHAnsi"/>
              </w:rPr>
              <w:t xml:space="preserve"> 8.0, 8.1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C1B49" w:rsidRPr="004C1B49" w:rsidRDefault="004C1B49" w:rsidP="004C1B49">
            <w:pPr>
              <w:pStyle w:val="BodyText"/>
              <w:numPr>
                <w:ilvl w:val="0"/>
                <w:numId w:val="8"/>
              </w:numPr>
              <w:spacing w:before="58"/>
              <w:ind w:right="304"/>
              <w:rPr>
                <w:rFonts w:asciiTheme="minorHAnsi" w:hAnsiTheme="minorHAnsi"/>
              </w:rPr>
            </w:pPr>
            <w:r w:rsidRPr="004C1B49">
              <w:rPr>
                <w:rFonts w:asciiTheme="minorHAnsi" w:hAnsiTheme="minorHAnsi"/>
              </w:rPr>
              <w:t>Separate Licenses</w:t>
            </w:r>
            <w:r w:rsidR="00EE16D8">
              <w:rPr>
                <w:rFonts w:asciiTheme="minorHAnsi" w:hAnsiTheme="minorHAnsi"/>
              </w:rPr>
              <w:t xml:space="preserve"> (Both Tax Links for D365 Finance and Operations and Tax Links for D365 Retail are required)</w:t>
            </w:r>
          </w:p>
        </w:tc>
      </w:tr>
    </w:tbl>
    <w:p w:rsidR="00E66839" w:rsidRDefault="00E66839" w:rsidP="00E66839">
      <w:pPr>
        <w:pStyle w:val="BodyText"/>
        <w:spacing w:before="58"/>
        <w:ind w:left="0" w:right="304"/>
        <w:rPr>
          <w:rFonts w:asciiTheme="minorHAnsi" w:hAnsiTheme="minorHAnsi"/>
        </w:rPr>
      </w:pPr>
    </w:p>
    <w:p w:rsidR="00D47B93" w:rsidRPr="00B842E8" w:rsidRDefault="00D47B93" w:rsidP="00D47B93">
      <w:pPr>
        <w:rPr>
          <w:rFonts w:asciiTheme="minorHAnsi" w:hAnsiTheme="minorHAnsi"/>
          <w:color w:val="FF0000"/>
        </w:rPr>
      </w:pPr>
    </w:p>
    <w:p w:rsidR="00AC34D9" w:rsidRPr="00EC70BC" w:rsidRDefault="00AC34D9" w:rsidP="00EC70BC">
      <w:pPr>
        <w:rPr>
          <w:rFonts w:asciiTheme="minorHAnsi" w:hAnsiTheme="minorHAnsi"/>
        </w:rPr>
      </w:pPr>
    </w:p>
    <w:sectPr w:rsidR="00AC34D9" w:rsidRPr="00EC70BC" w:rsidSect="005B4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8F" w:rsidRDefault="00EA098F" w:rsidP="00067581">
      <w:r>
        <w:separator/>
      </w:r>
    </w:p>
  </w:endnote>
  <w:endnote w:type="continuationSeparator" w:id="0">
    <w:p w:rsidR="00EA098F" w:rsidRDefault="00EA098F" w:rsidP="000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B7" w:rsidRDefault="00ED4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2D" w:rsidRPr="001A282D" w:rsidRDefault="006D2D0D" w:rsidP="001A282D">
    <w:pPr>
      <w:pStyle w:val="Footer"/>
      <w:tabs>
        <w:tab w:val="left" w:pos="2970"/>
        <w:tab w:val="left" w:pos="6080"/>
        <w:tab w:val="right" w:pos="11250"/>
      </w:tabs>
      <w:jc w:val="right"/>
      <w:rPr>
        <w:rFonts w:ascii="Arial" w:hAnsi="Arial" w:cs="Arial"/>
        <w:noProof/>
        <w:color w:val="B5D031"/>
        <w:sz w:val="28"/>
        <w:szCs w:val="28"/>
      </w:rPr>
    </w:pPr>
    <w:r w:rsidRPr="00090F90">
      <w:rPr>
        <w:rFonts w:ascii="Arial" w:hAnsi="Arial" w:cs="Arial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581B25" wp14:editId="31162F56">
              <wp:simplePos x="0" y="0"/>
              <wp:positionH relativeFrom="page">
                <wp:posOffset>228600</wp:posOffset>
              </wp:positionH>
              <wp:positionV relativeFrom="page">
                <wp:posOffset>9264650</wp:posOffset>
              </wp:positionV>
              <wp:extent cx="7315200" cy="45720"/>
              <wp:effectExtent l="0" t="6350" r="0" b="5080"/>
              <wp:wrapNone/>
              <wp:docPr id="2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6CE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F21F08" id="Rounded Rectangle 1" o:spid="_x0000_s1026" style="position:absolute;margin-left:18pt;margin-top:729.5pt;width:8in;height: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" fillcolor="#b6ce3c" stroked="f">
              <w10:wrap anchorx="page" anchory="page"/>
            </v:roundrect>
          </w:pict>
        </mc:Fallback>
      </mc:AlternateContent>
    </w:r>
  </w:p>
  <w:p w:rsidR="001A282D" w:rsidRPr="00090F90" w:rsidRDefault="001A282D" w:rsidP="001A282D">
    <w:pPr>
      <w:pStyle w:val="Footer"/>
      <w:tabs>
        <w:tab w:val="left" w:pos="2970"/>
        <w:tab w:val="left" w:pos="6080"/>
        <w:tab w:val="right" w:pos="11250"/>
      </w:tabs>
      <w:rPr>
        <w:rFonts w:ascii="Arial" w:hAnsi="Arial" w:cs="Arial"/>
        <w:noProof/>
        <w:color w:val="808080"/>
        <w:sz w:val="18"/>
        <w:szCs w:val="18"/>
      </w:rPr>
    </w:pPr>
  </w:p>
  <w:p w:rsidR="006D2D0D" w:rsidRPr="006D2D0D" w:rsidRDefault="006D2D0D" w:rsidP="006D2D0D">
    <w:pPr>
      <w:tabs>
        <w:tab w:val="left" w:pos="2970"/>
        <w:tab w:val="center" w:pos="4320"/>
        <w:tab w:val="left" w:pos="6080"/>
        <w:tab w:val="right" w:pos="8640"/>
        <w:tab w:val="right" w:pos="11250"/>
      </w:tabs>
      <w:rPr>
        <w:rFonts w:ascii="Arial" w:hAnsi="Arial" w:cs="Arial"/>
        <w:color w:val="808080"/>
        <w:sz w:val="18"/>
        <w:szCs w:val="18"/>
      </w:rPr>
    </w:pPr>
    <w:r w:rsidRPr="006D2D0D">
      <w:rPr>
        <w:rFonts w:ascii="Arial" w:hAnsi="Arial" w:cs="Arial"/>
        <w:noProof/>
        <w:color w:val="808080"/>
        <w:sz w:val="18"/>
        <w:szCs w:val="18"/>
      </w:rPr>
      <w:t xml:space="preserve">2301 Renaissance Blvd  •  King of Prussia, PA 19406 </w:t>
    </w:r>
    <w:r w:rsidRPr="006D2D0D">
      <w:rPr>
        <w:rFonts w:ascii="Arial" w:hAnsi="Arial" w:cs="Arial"/>
        <w:noProof/>
        <w:color w:val="808080"/>
        <w:sz w:val="18"/>
        <w:szCs w:val="18"/>
      </w:rPr>
      <w:br/>
    </w:r>
    <w:r w:rsidRPr="006D2D0D">
      <w:rPr>
        <w:rFonts w:ascii="Arial" w:hAnsi="Arial" w:cs="Arial" w:hint="eastAsia"/>
        <w:noProof/>
        <w:color w:val="808080"/>
        <w:sz w:val="18"/>
        <w:szCs w:val="18"/>
      </w:rPr>
      <w:t>w</w:t>
    </w:r>
    <w:r w:rsidRPr="006D2D0D">
      <w:rPr>
        <w:rFonts w:ascii="Arial" w:hAnsi="Arial" w:cs="Arial"/>
        <w:noProof/>
        <w:color w:val="808080"/>
        <w:sz w:val="18"/>
        <w:szCs w:val="18"/>
      </w:rPr>
      <w:t>ww.vertex</w:t>
    </w:r>
    <w:r w:rsidR="00D7090A">
      <w:rPr>
        <w:rFonts w:ascii="Arial" w:hAnsi="Arial" w:cs="Arial"/>
        <w:noProof/>
        <w:color w:val="808080"/>
        <w:sz w:val="18"/>
        <w:szCs w:val="18"/>
      </w:rPr>
      <w:t>inc</w:t>
    </w:r>
    <w:r w:rsidRPr="006D2D0D">
      <w:rPr>
        <w:rFonts w:ascii="Arial" w:hAnsi="Arial" w:cs="Arial"/>
        <w:noProof/>
        <w:color w:val="808080"/>
        <w:sz w:val="18"/>
        <w:szCs w:val="18"/>
      </w:rPr>
      <w:t xml:space="preserve">.com • </w:t>
    </w:r>
    <w:r w:rsidRPr="006D2D0D">
      <w:rPr>
        <w:rFonts w:ascii="Arial" w:hAnsi="Arial" w:cs="Arial" w:hint="eastAsia"/>
        <w:noProof/>
        <w:color w:val="808080"/>
        <w:sz w:val="18"/>
        <w:szCs w:val="18"/>
      </w:rPr>
      <w:t>info@vertex</w:t>
    </w:r>
    <w:r w:rsidR="00D7090A">
      <w:rPr>
        <w:rFonts w:ascii="Arial" w:hAnsi="Arial" w:cs="Arial"/>
        <w:noProof/>
        <w:color w:val="808080"/>
        <w:sz w:val="18"/>
        <w:szCs w:val="18"/>
      </w:rPr>
      <w:t>inc</w:t>
    </w:r>
    <w:r w:rsidRPr="006D2D0D">
      <w:rPr>
        <w:rFonts w:ascii="Arial" w:hAnsi="Arial" w:cs="Arial" w:hint="eastAsia"/>
        <w:noProof/>
        <w:color w:val="808080"/>
        <w:sz w:val="18"/>
        <w:szCs w:val="18"/>
      </w:rPr>
      <w:t>.com</w:t>
    </w:r>
    <w:r w:rsidRPr="006D2D0D">
      <w:rPr>
        <w:rFonts w:ascii="Arial" w:hAnsi="Arial" w:cs="Arial"/>
        <w:noProof/>
        <w:color w:val="808080"/>
        <w:sz w:val="18"/>
        <w:szCs w:val="18"/>
      </w:rPr>
      <w:t xml:space="preserve"> • </w:t>
    </w:r>
    <w:r w:rsidRPr="006D2D0D">
      <w:rPr>
        <w:rFonts w:ascii="Arial" w:hAnsi="Arial" w:cs="Arial" w:hint="eastAsia"/>
        <w:noProof/>
        <w:color w:val="808080"/>
        <w:sz w:val="18"/>
        <w:szCs w:val="18"/>
      </w:rPr>
      <w:t>855-221-5885</w:t>
    </w:r>
    <w:r w:rsidR="00ED48B7">
      <w:rPr>
        <w:rFonts w:ascii="Arial" w:hAnsi="Arial" w:cs="Arial"/>
        <w:noProof/>
        <w:color w:val="808080"/>
        <w:sz w:val="18"/>
        <w:szCs w:val="18"/>
      </w:rPr>
      <w:tab/>
    </w:r>
    <w:r w:rsidR="00ED48B7">
      <w:rPr>
        <w:rFonts w:ascii="Arial" w:hAnsi="Arial" w:cs="Arial"/>
        <w:noProof/>
        <w:color w:val="808080"/>
        <w:sz w:val="18"/>
        <w:szCs w:val="18"/>
      </w:rPr>
      <w:tab/>
    </w:r>
    <w:r w:rsidR="00ED48B7">
      <w:rPr>
        <w:rFonts w:ascii="Arial" w:hAnsi="Arial" w:cs="Arial"/>
        <w:noProof/>
        <w:color w:val="808080"/>
        <w:sz w:val="18"/>
        <w:szCs w:val="18"/>
      </w:rPr>
      <w:tab/>
      <w:t>1/21/2019</w:t>
    </w:r>
  </w:p>
  <w:p w:rsidR="000D0701" w:rsidRPr="00090F90" w:rsidRDefault="000D0701" w:rsidP="001A282D">
    <w:pPr>
      <w:pStyle w:val="Footer"/>
      <w:tabs>
        <w:tab w:val="left" w:pos="2970"/>
        <w:tab w:val="left" w:pos="6080"/>
        <w:tab w:val="right" w:pos="11250"/>
      </w:tabs>
      <w:rPr>
        <w:rFonts w:ascii="Arial" w:hAnsi="Arial" w:cs="Arial"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B7" w:rsidRDefault="00ED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8F" w:rsidRDefault="00EA098F" w:rsidP="00067581">
      <w:r>
        <w:separator/>
      </w:r>
    </w:p>
  </w:footnote>
  <w:footnote w:type="continuationSeparator" w:id="0">
    <w:p w:rsidR="00EA098F" w:rsidRDefault="00EA098F" w:rsidP="0006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B7" w:rsidRDefault="00ED4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701" w:rsidRPr="001A282D" w:rsidRDefault="00A612DD" w:rsidP="00F344C2">
    <w:pPr>
      <w:pStyle w:val="Header"/>
      <w:tabs>
        <w:tab w:val="clear" w:pos="8640"/>
        <w:tab w:val="left" w:pos="0"/>
        <w:tab w:val="right" w:pos="9900"/>
      </w:tabs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7452D" wp14:editId="6655C3A2">
              <wp:simplePos x="0" y="0"/>
              <wp:positionH relativeFrom="page">
                <wp:posOffset>5970270</wp:posOffset>
              </wp:positionH>
              <wp:positionV relativeFrom="paragraph">
                <wp:posOffset>-441960</wp:posOffset>
              </wp:positionV>
              <wp:extent cx="1783080" cy="800100"/>
              <wp:effectExtent l="0" t="0" r="26670" b="1905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3080" cy="800100"/>
                      </a:xfrm>
                      <a:prstGeom prst="flowChartDocumen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12DD" w:rsidRPr="00E43E47" w:rsidRDefault="00A612DD" w:rsidP="00A612D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Microsoft Dynamics 365 RETAIL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7452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4" o:spid="_x0000_s1026" type="#_x0000_t114" style="position:absolute;margin-left:470.1pt;margin-top:-34.8pt;width:140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" fillcolor="#002060" strokecolor="#1f4d78 [1604]" strokeweight="1pt">
              <v:textbox>
                <w:txbxContent>
                  <w:p w:rsidR="00A612DD" w:rsidRPr="00E43E47" w:rsidRDefault="00A612DD" w:rsidP="00A612DD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Microsoft Dynamics 365 RETAIL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A282D" w:rsidRPr="001A282D">
      <w:rPr>
        <w:sz w:val="32"/>
        <w:szCs w:val="32"/>
      </w:rPr>
      <w:t xml:space="preserve"> </w:t>
    </w:r>
    <w:bookmarkStart w:id="4" w:name="OLE_LINK17"/>
    <w:bookmarkStart w:id="5" w:name="OLE_LINK18"/>
    <w:r w:rsidR="00A602E5">
      <w:rPr>
        <w:noProof/>
      </w:rPr>
      <w:drawing>
        <wp:inline distT="0" distB="0" distL="0" distR="0">
          <wp:extent cx="3457575" cy="571500"/>
          <wp:effectExtent l="0" t="0" r="0" b="0"/>
          <wp:docPr id="5" name="Picture 5" descr="C:\Users\ekisslin\AppData\Local\Microsoft\Windows\Temporary Internet Files\Content.Word\Logo_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isslin\AppData\Local\Microsoft\Windows\Temporary Internet Files\Content.Word\Logo_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9000" contras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B7" w:rsidRDefault="00ED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AB4"/>
    <w:multiLevelType w:val="hybridMultilevel"/>
    <w:tmpl w:val="0AB2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898"/>
    <w:multiLevelType w:val="hybridMultilevel"/>
    <w:tmpl w:val="2DD0F9B8"/>
    <w:lvl w:ilvl="0" w:tplc="D314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6EEA2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CC526">
      <w:start w:val="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E6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2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2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6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A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CD1216"/>
    <w:multiLevelType w:val="hybridMultilevel"/>
    <w:tmpl w:val="366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7B"/>
    <w:multiLevelType w:val="hybridMultilevel"/>
    <w:tmpl w:val="74D0D470"/>
    <w:lvl w:ilvl="0" w:tplc="79D67462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sz w:val="24"/>
        <w:szCs w:val="24"/>
      </w:rPr>
    </w:lvl>
    <w:lvl w:ilvl="1" w:tplc="6B4497B0">
      <w:start w:val="1"/>
      <w:numFmt w:val="bullet"/>
      <w:lvlText w:val=""/>
      <w:lvlJc w:val="left"/>
      <w:pPr>
        <w:ind w:left="2320" w:hanging="360"/>
      </w:pPr>
      <w:rPr>
        <w:rFonts w:ascii="Symbol" w:eastAsia="Symbol" w:hAnsi="Symbol" w:hint="default"/>
        <w:sz w:val="24"/>
        <w:szCs w:val="24"/>
      </w:rPr>
    </w:lvl>
    <w:lvl w:ilvl="2" w:tplc="B754B112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AF48113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26E6C88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DCB6F1A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9698E812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BAA600E6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0C2942E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4" w15:restartNumberingAfterBreak="0">
    <w:nsid w:val="41994A29"/>
    <w:multiLevelType w:val="hybridMultilevel"/>
    <w:tmpl w:val="B1F6BECA"/>
    <w:lvl w:ilvl="0" w:tplc="C9D2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22E2">
      <w:start w:val="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C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A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2A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E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C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7A5ABE"/>
    <w:multiLevelType w:val="hybridMultilevel"/>
    <w:tmpl w:val="09D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1E20"/>
    <w:multiLevelType w:val="hybridMultilevel"/>
    <w:tmpl w:val="D7A8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0351"/>
    <w:multiLevelType w:val="hybridMultilevel"/>
    <w:tmpl w:val="9EDCD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b6ce3c,#0b2e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28"/>
    <w:rsid w:val="00047375"/>
    <w:rsid w:val="00067581"/>
    <w:rsid w:val="00090F90"/>
    <w:rsid w:val="000A49D7"/>
    <w:rsid w:val="000C3C52"/>
    <w:rsid w:val="000D0701"/>
    <w:rsid w:val="00116A91"/>
    <w:rsid w:val="00151654"/>
    <w:rsid w:val="00155C23"/>
    <w:rsid w:val="00165BB0"/>
    <w:rsid w:val="00171E77"/>
    <w:rsid w:val="001A282D"/>
    <w:rsid w:val="001D2D95"/>
    <w:rsid w:val="0020323B"/>
    <w:rsid w:val="00256069"/>
    <w:rsid w:val="00260E3A"/>
    <w:rsid w:val="0032136D"/>
    <w:rsid w:val="00392811"/>
    <w:rsid w:val="003A0CFD"/>
    <w:rsid w:val="00407661"/>
    <w:rsid w:val="004C1B49"/>
    <w:rsid w:val="00556802"/>
    <w:rsid w:val="005B2170"/>
    <w:rsid w:val="005B4844"/>
    <w:rsid w:val="005C66AC"/>
    <w:rsid w:val="005D38D8"/>
    <w:rsid w:val="005F1BA1"/>
    <w:rsid w:val="005F6B0B"/>
    <w:rsid w:val="006041A9"/>
    <w:rsid w:val="00610B99"/>
    <w:rsid w:val="006167C4"/>
    <w:rsid w:val="00633D5E"/>
    <w:rsid w:val="006B7D28"/>
    <w:rsid w:val="006C37EC"/>
    <w:rsid w:val="006D2D0D"/>
    <w:rsid w:val="00777070"/>
    <w:rsid w:val="007B22BD"/>
    <w:rsid w:val="007B6BA9"/>
    <w:rsid w:val="0080718E"/>
    <w:rsid w:val="008C1ECA"/>
    <w:rsid w:val="009653CD"/>
    <w:rsid w:val="009C7A25"/>
    <w:rsid w:val="00A5111F"/>
    <w:rsid w:val="00A602E5"/>
    <w:rsid w:val="00A612DD"/>
    <w:rsid w:val="00A970DE"/>
    <w:rsid w:val="00AA16A9"/>
    <w:rsid w:val="00AC34D9"/>
    <w:rsid w:val="00AD3725"/>
    <w:rsid w:val="00B812C2"/>
    <w:rsid w:val="00B842E8"/>
    <w:rsid w:val="00B92D80"/>
    <w:rsid w:val="00BB5748"/>
    <w:rsid w:val="00C663EE"/>
    <w:rsid w:val="00CD14FA"/>
    <w:rsid w:val="00D45BF4"/>
    <w:rsid w:val="00D47B93"/>
    <w:rsid w:val="00D52F57"/>
    <w:rsid w:val="00D6210F"/>
    <w:rsid w:val="00D7090A"/>
    <w:rsid w:val="00DC2EAC"/>
    <w:rsid w:val="00DC7FCC"/>
    <w:rsid w:val="00E040E9"/>
    <w:rsid w:val="00E14F86"/>
    <w:rsid w:val="00E3647B"/>
    <w:rsid w:val="00E424A2"/>
    <w:rsid w:val="00E66839"/>
    <w:rsid w:val="00EA098F"/>
    <w:rsid w:val="00EC70BC"/>
    <w:rsid w:val="00ED48B7"/>
    <w:rsid w:val="00EE16D8"/>
    <w:rsid w:val="00EF5CBF"/>
    <w:rsid w:val="00F344C2"/>
    <w:rsid w:val="00F34D83"/>
    <w:rsid w:val="00FB7F78"/>
    <w:rsid w:val="00FE6127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b6ce3c,#0b2e64"/>
    </o:shapedefaults>
    <o:shapelayout v:ext="edit">
      <o:idmap v:ext="edit" data="1"/>
    </o:shapelayout>
  </w:shapeDefaults>
  <w:decimalSymbol w:val="."/>
  <w:listSeparator w:val=","/>
  <w14:docId w14:val="3087E919"/>
  <w14:defaultImageDpi w14:val="300"/>
  <w15:docId w15:val="{9CDA5850-F0FA-427B-A0C9-23B5FC0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92811"/>
    <w:pPr>
      <w:widowControl w:val="0"/>
      <w:ind w:left="160"/>
      <w:outlineLvl w:val="1"/>
    </w:pPr>
    <w:rPr>
      <w:rFonts w:eastAsia="Cambria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75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5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7581"/>
    <w:rPr>
      <w:sz w:val="24"/>
      <w:szCs w:val="24"/>
    </w:rPr>
  </w:style>
  <w:style w:type="character" w:styleId="Hyperlink">
    <w:name w:val="Hyperlink"/>
    <w:uiPriority w:val="99"/>
    <w:unhideWhenUsed/>
    <w:rsid w:val="000D0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0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392811"/>
    <w:rPr>
      <w:rFonts w:eastAsia="Cambria" w:cstheme="minorBid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92811"/>
    <w:pPr>
      <w:widowControl w:val="0"/>
      <w:spacing w:before="120"/>
      <w:ind w:left="160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92811"/>
    <w:rPr>
      <w:rFonts w:ascii="Calibri" w:eastAsia="Calibri" w:hAnsi="Calibri" w:cstheme="minorBidi"/>
      <w:sz w:val="24"/>
      <w:szCs w:val="24"/>
    </w:rPr>
  </w:style>
  <w:style w:type="table" w:styleId="TableGrid">
    <w:name w:val="Table Grid"/>
    <w:basedOn w:val="TableNormal"/>
    <w:uiPriority w:val="59"/>
    <w:rsid w:val="0055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8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7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605">
          <w:marLeft w:val="475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053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5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770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33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882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ndaic\AppData\Local\Microsoft\Windows\Temporary%20Internet%20Files\Content.Outlook\GAASVE3X\Vertex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EE4AF-A68E-4E14-A6E6-19570272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Vertex_template.dot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1376280</vt:i4>
      </vt:variant>
      <vt:variant>
        <vt:i4>2062</vt:i4>
      </vt:variant>
      <vt:variant>
        <vt:i4>1025</vt:i4>
      </vt:variant>
      <vt:variant>
        <vt:i4>1</vt:i4>
      </vt:variant>
      <vt:variant>
        <vt:lpwstr>VXT_SMB_Logo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Stack</cp:lastModifiedBy>
  <cp:revision>7</cp:revision>
  <cp:lastPrinted>2017-08-09T14:51:00Z</cp:lastPrinted>
  <dcterms:created xsi:type="dcterms:W3CDTF">2019-03-11T15:13:00Z</dcterms:created>
  <dcterms:modified xsi:type="dcterms:W3CDTF">2019-03-11T15:30:00Z</dcterms:modified>
</cp:coreProperties>
</file>