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2C24" w14:textId="7447BC55" w:rsidR="00CB120C" w:rsidRPr="00CB120C" w:rsidRDefault="002E31BB" w:rsidP="00CB120C">
      <w:pPr>
        <w:rPr>
          <w:sz w:val="32"/>
        </w:rPr>
      </w:pPr>
      <w:r>
        <w:rPr>
          <w:b/>
          <w:bCs/>
          <w:sz w:val="32"/>
        </w:rPr>
        <w:t>GovWin IQ</w:t>
      </w:r>
      <w:r w:rsidR="00A20A18">
        <w:rPr>
          <w:b/>
          <w:bCs/>
          <w:sz w:val="32"/>
        </w:rPr>
        <w:t xml:space="preserve"> Connector </w:t>
      </w:r>
      <w:r w:rsidR="006961E1">
        <w:rPr>
          <w:b/>
          <w:bCs/>
          <w:sz w:val="32"/>
        </w:rPr>
        <w:t>E2E Scenarios Template</w:t>
      </w:r>
    </w:p>
    <w:p w14:paraId="23C1589C" w14:textId="77777777" w:rsidR="00CB120C" w:rsidRDefault="00CB120C" w:rsidP="00CB120C"/>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07BBD7BE" w:rsidR="002C11CE" w:rsidRPr="00060BCD" w:rsidRDefault="00DE32D7" w:rsidP="002E246F">
            <w:pPr>
              <w:spacing w:after="0" w:line="240" w:lineRule="auto"/>
              <w:jc w:val="both"/>
              <w:rPr>
                <w:rFonts w:eastAsia="Times New Roman" w:cs="Segoe UI"/>
                <w:sz w:val="20"/>
              </w:rPr>
            </w:pPr>
            <w:r>
              <w:rPr>
                <w:rFonts w:eastAsia="Times New Roman" w:cs="Segoe UI"/>
                <w:color w:val="000000" w:themeColor="dark1"/>
                <w:kern w:val="24"/>
                <w:sz w:val="20"/>
              </w:rPr>
              <w:t>Business Development (BD) Executive, Capture Managers</w:t>
            </w:r>
          </w:p>
        </w:tc>
      </w:tr>
      <w:tr w:rsidR="006961E1" w:rsidRPr="00060BCD" w14:paraId="4875C6EF" w14:textId="77777777" w:rsidTr="00060BCD">
        <w:trPr>
          <w:trHeight w:val="820"/>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334E5059" w:rsidR="006961E1" w:rsidRPr="00060BCD" w:rsidRDefault="006961E1" w:rsidP="002C11CE">
            <w:pPr>
              <w:rPr>
                <w:sz w:val="20"/>
              </w:rPr>
            </w:pPr>
            <w:r>
              <w:rPr>
                <w:sz w:val="20"/>
              </w:rPr>
              <w:t>Client: Web Client (Browsers: Chrome, Edge)</w:t>
            </w:r>
          </w:p>
        </w:tc>
      </w:tr>
      <w:tr w:rsidR="002C11CE" w:rsidRPr="00060BCD" w14:paraId="63C993AD" w14:textId="77777777" w:rsidTr="00060BCD">
        <w:trPr>
          <w:trHeight w:val="820"/>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F6794F1" w14:textId="70C18BFA" w:rsidR="002C11CE" w:rsidRPr="00060BCD" w:rsidRDefault="002E31BB" w:rsidP="00876B53">
            <w:pPr>
              <w:rPr>
                <w:sz w:val="20"/>
              </w:rPr>
            </w:pPr>
            <w:r w:rsidRPr="002E31BB">
              <w:rPr>
                <w:sz w:val="20"/>
              </w:rPr>
              <w:t>TechnoMile’s GovWin IQ Connector injects more information directly from GovWin IQ into Microsoft Dynamics for Sales, including GovCloud version. This data can then be used in a more collaborative and mobile environment increasing speed of decision making on opportunities enabling users and managers to stay focused on going after the right opportunities at the best time.</w:t>
            </w:r>
          </w:p>
        </w:tc>
      </w:tr>
      <w:tr w:rsidR="002C11CE" w:rsidRPr="00060BCD" w14:paraId="0CC5C327" w14:textId="77777777" w:rsidTr="00060BCD">
        <w:trPr>
          <w:trHeight w:val="1627"/>
        </w:trPr>
        <w:tc>
          <w:tcPr>
            <w:tcW w:w="1594" w:type="dxa"/>
            <w:shd w:val="clear" w:color="auto" w:fill="92D050"/>
            <w:tcMar>
              <w:top w:w="72" w:type="dxa"/>
              <w:left w:w="72" w:type="dxa"/>
              <w:bottom w:w="72" w:type="dxa"/>
              <w:right w:w="72" w:type="dxa"/>
            </w:tcMar>
            <w:vAlign w:val="center"/>
            <w:hideMark/>
          </w:tcPr>
          <w:p w14:paraId="4733418B"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14:paraId="42FD5C2B" w14:textId="0EA2A192" w:rsidR="002C11CE" w:rsidRPr="00060BCD" w:rsidRDefault="002D2A47" w:rsidP="00895483">
            <w:pPr>
              <w:spacing w:after="0" w:line="240" w:lineRule="auto"/>
              <w:contextualSpacing/>
              <w:jc w:val="both"/>
              <w:rPr>
                <w:rFonts w:eastAsia="Times New Roman" w:cs="Segoe UI"/>
                <w:sz w:val="20"/>
              </w:rPr>
            </w:pPr>
            <w:r>
              <w:rPr>
                <w:rFonts w:eastAsia="Times New Roman" w:cs="Segoe UI"/>
                <w:color w:val="000000" w:themeColor="dark1"/>
                <w:kern w:val="24"/>
                <w:sz w:val="20"/>
              </w:rPr>
              <w:t xml:space="preserve">The standard </w:t>
            </w:r>
            <w:r w:rsidR="00DE32D7">
              <w:rPr>
                <w:rFonts w:eastAsia="Times New Roman" w:cs="Segoe UI"/>
                <w:color w:val="000000" w:themeColor="dark1"/>
                <w:kern w:val="24"/>
                <w:sz w:val="20"/>
              </w:rPr>
              <w:t xml:space="preserve">usage of </w:t>
            </w:r>
            <w:r w:rsidR="00696B27">
              <w:rPr>
                <w:rFonts w:eastAsia="Times New Roman" w:cs="Segoe UI"/>
                <w:color w:val="000000" w:themeColor="dark1"/>
                <w:kern w:val="24"/>
                <w:sz w:val="20"/>
              </w:rPr>
              <w:t xml:space="preserve">MS Dynamics Sales in conjunction with </w:t>
            </w:r>
            <w:r w:rsidR="00895483">
              <w:rPr>
                <w:rFonts w:eastAsia="Times New Roman" w:cs="Segoe UI"/>
                <w:color w:val="000000" w:themeColor="dark1"/>
                <w:kern w:val="24"/>
                <w:sz w:val="20"/>
              </w:rPr>
              <w:t>GovWin IQ</w:t>
            </w:r>
            <w:r w:rsidR="00696B27">
              <w:rPr>
                <w:rFonts w:eastAsia="Times New Roman" w:cs="Segoe UI"/>
                <w:color w:val="000000" w:themeColor="dark1"/>
                <w:kern w:val="24"/>
                <w:sz w:val="20"/>
              </w:rPr>
              <w:t xml:space="preserve"> requires the users to switch between the two User </w:t>
            </w:r>
            <w:r w:rsidR="00895483">
              <w:rPr>
                <w:rFonts w:eastAsia="Times New Roman" w:cs="Segoe UI"/>
                <w:color w:val="000000" w:themeColor="dark1"/>
                <w:kern w:val="24"/>
                <w:sz w:val="20"/>
              </w:rPr>
              <w:t xml:space="preserve">Platforms and </w:t>
            </w:r>
            <w:r w:rsidR="00696B27">
              <w:rPr>
                <w:rFonts w:eastAsia="Times New Roman" w:cs="Segoe UI"/>
                <w:color w:val="000000" w:themeColor="dark1"/>
                <w:kern w:val="24"/>
                <w:sz w:val="20"/>
              </w:rPr>
              <w:t>Interfaces to view and/or reference data</w:t>
            </w:r>
            <w:r w:rsidR="00E14888">
              <w:rPr>
                <w:rFonts w:eastAsia="Times New Roman" w:cs="Segoe UI"/>
                <w:color w:val="000000" w:themeColor="dark1"/>
                <w:kern w:val="24"/>
                <w:sz w:val="20"/>
              </w:rPr>
              <w:t>.</w:t>
            </w:r>
            <w:r w:rsidR="00696B27">
              <w:rPr>
                <w:rFonts w:eastAsia="Times New Roman" w:cs="Segoe UI"/>
                <w:color w:val="000000" w:themeColor="dark1"/>
                <w:kern w:val="24"/>
                <w:sz w:val="20"/>
              </w:rPr>
              <w:t xml:space="preserve"> Data needs to be manually copied into the </w:t>
            </w:r>
            <w:r w:rsidR="00696B27">
              <w:rPr>
                <w:rFonts w:eastAsia="Times New Roman" w:cs="Segoe UI"/>
                <w:color w:val="000000" w:themeColor="dark1"/>
                <w:kern w:val="24"/>
                <w:sz w:val="20"/>
              </w:rPr>
              <w:t xml:space="preserve">MS Dynamics </w:t>
            </w:r>
            <w:r w:rsidR="00696B27">
              <w:rPr>
                <w:rFonts w:eastAsia="Times New Roman" w:cs="Segoe UI"/>
                <w:color w:val="000000" w:themeColor="dark1"/>
                <w:kern w:val="24"/>
                <w:sz w:val="20"/>
              </w:rPr>
              <w:t xml:space="preserve">for </w:t>
            </w:r>
            <w:r w:rsidR="00696B27">
              <w:rPr>
                <w:rFonts w:eastAsia="Times New Roman" w:cs="Segoe UI"/>
                <w:color w:val="000000" w:themeColor="dark1"/>
                <w:kern w:val="24"/>
                <w:sz w:val="20"/>
              </w:rPr>
              <w:t>Sales</w:t>
            </w:r>
            <w:r w:rsidR="00696B27">
              <w:rPr>
                <w:rFonts w:eastAsia="Times New Roman" w:cs="Segoe UI"/>
                <w:color w:val="000000" w:themeColor="dark1"/>
                <w:kern w:val="24"/>
                <w:sz w:val="20"/>
              </w:rPr>
              <w:t xml:space="preserve"> in order to report on them.</w:t>
            </w:r>
          </w:p>
        </w:tc>
      </w:tr>
      <w:tr w:rsidR="002C11CE" w:rsidRPr="00060BCD" w14:paraId="4E20E089" w14:textId="77777777" w:rsidTr="00060BCD">
        <w:trPr>
          <w:trHeight w:val="806"/>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37763D77" w14:textId="577EF73E" w:rsidR="002C11CE" w:rsidRPr="00060BCD" w:rsidRDefault="00876B53" w:rsidP="00895483">
            <w:pPr>
              <w:rPr>
                <w:sz w:val="20"/>
              </w:rPr>
            </w:pPr>
            <w:r>
              <w:rPr>
                <w:sz w:val="20"/>
              </w:rPr>
              <w:t>C</w:t>
            </w:r>
            <w:r w:rsidRPr="00DE32D7">
              <w:rPr>
                <w:sz w:val="20"/>
              </w:rPr>
              <w:t xml:space="preserve">entralize </w:t>
            </w:r>
            <w:r>
              <w:rPr>
                <w:sz w:val="20"/>
              </w:rPr>
              <w:t xml:space="preserve">data </w:t>
            </w:r>
            <w:r w:rsidRPr="00DE32D7">
              <w:rPr>
                <w:sz w:val="20"/>
              </w:rPr>
              <w:t xml:space="preserve">and enables users to contextualize data from </w:t>
            </w:r>
            <w:r w:rsidR="00895483">
              <w:rPr>
                <w:sz w:val="20"/>
              </w:rPr>
              <w:t>GovWin IQ</w:t>
            </w:r>
            <w:r w:rsidRPr="00DE32D7">
              <w:rPr>
                <w:sz w:val="20"/>
              </w:rPr>
              <w:t xml:space="preserve"> and track/report with accurate real time on pertinent information</w:t>
            </w:r>
            <w:r w:rsidR="00895483">
              <w:rPr>
                <w:sz w:val="20"/>
              </w:rPr>
              <w:t xml:space="preserve"> including Contract Vehicles, Contacts, Competitors</w:t>
            </w:r>
            <w:r w:rsidRPr="00DE32D7">
              <w:rPr>
                <w:sz w:val="20"/>
              </w:rPr>
              <w:t xml:space="preserve"> &amp; intelligence on opportunities all with the click of a button</w:t>
            </w:r>
          </w:p>
        </w:tc>
      </w:tr>
      <w:tr w:rsidR="002C11CE" w:rsidRPr="00060BCD" w14:paraId="6A199374" w14:textId="77777777" w:rsidTr="00060BCD">
        <w:trPr>
          <w:trHeight w:val="1627"/>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13F87820" w14:textId="77777777" w:rsidR="002C11CE" w:rsidRPr="00060BCD" w:rsidRDefault="002C11CE" w:rsidP="002C11CE">
            <w:pPr>
              <w:spacing w:after="0" w:line="240" w:lineRule="auto"/>
              <w:contextualSpacing/>
              <w:jc w:val="both"/>
              <w:rPr>
                <w:rFonts w:eastAsia="Times New Roman" w:cs="Segoe UI"/>
                <w:color w:val="000000" w:themeColor="dark1"/>
                <w:kern w:val="24"/>
                <w:sz w:val="20"/>
              </w:rPr>
            </w:pPr>
          </w:p>
          <w:p w14:paraId="33D0BE19" w14:textId="142642F2" w:rsidR="002C11CE" w:rsidRPr="00060BCD" w:rsidRDefault="00876B53" w:rsidP="00D37582">
            <w:pPr>
              <w:rPr>
                <w:rFonts w:eastAsia="Times New Roman" w:cs="Segoe UI"/>
                <w:sz w:val="20"/>
              </w:rPr>
            </w:pPr>
            <w:r>
              <w:rPr>
                <w:sz w:val="20"/>
              </w:rPr>
              <w:t xml:space="preserve">Track and </w:t>
            </w:r>
            <w:r w:rsidRPr="00DE32D7">
              <w:rPr>
                <w:sz w:val="20"/>
              </w:rPr>
              <w:t xml:space="preserve">report </w:t>
            </w:r>
            <w:r>
              <w:rPr>
                <w:sz w:val="20"/>
              </w:rPr>
              <w:t xml:space="preserve">on Opportunities </w:t>
            </w:r>
            <w:r w:rsidRPr="00DE32D7">
              <w:rPr>
                <w:sz w:val="20"/>
              </w:rPr>
              <w:t>with accurate real time on pertinent information</w:t>
            </w:r>
            <w:r>
              <w:rPr>
                <w:sz w:val="20"/>
              </w:rPr>
              <w:t xml:space="preserve"> and actionable intelligence</w:t>
            </w:r>
          </w:p>
        </w:tc>
      </w:tr>
      <w:tr w:rsidR="002C11CE" w:rsidRPr="00060BCD" w14:paraId="6AA88129" w14:textId="77777777" w:rsidTr="002C11CE">
        <w:trPr>
          <w:trHeight w:val="934"/>
        </w:trPr>
        <w:tc>
          <w:tcPr>
            <w:tcW w:w="1594" w:type="dxa"/>
            <w:shd w:val="clear" w:color="auto" w:fill="92D050"/>
            <w:tcMar>
              <w:top w:w="72" w:type="dxa"/>
              <w:left w:w="72" w:type="dxa"/>
              <w:bottom w:w="72" w:type="dxa"/>
              <w:right w:w="72" w:type="dxa"/>
            </w:tcMar>
            <w:vAlign w:val="center"/>
            <w:hideMark/>
          </w:tcPr>
          <w:p w14:paraId="723AC93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46F6911F" w:rsidR="002C11CE" w:rsidRPr="00060BCD" w:rsidRDefault="00876B53" w:rsidP="0048698E">
            <w:pPr>
              <w:pStyle w:val="ListParagraph"/>
              <w:ind w:left="0"/>
              <w:rPr>
                <w:sz w:val="20"/>
              </w:rPr>
            </w:pPr>
            <w:r>
              <w:rPr>
                <w:sz w:val="20"/>
              </w:rPr>
              <w:t>NA</w:t>
            </w:r>
            <w:r w:rsidR="006907F8">
              <w:rPr>
                <w:sz w:val="20"/>
              </w:rPr>
              <w:t xml:space="preserve"> </w:t>
            </w:r>
          </w:p>
        </w:tc>
      </w:tr>
      <w:tr w:rsidR="002C11CE"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3F3403FB" w:rsidR="002C11CE" w:rsidRPr="00060BCD" w:rsidRDefault="00105512" w:rsidP="00F0338F">
            <w:pPr>
              <w:rPr>
                <w:rFonts w:eastAsia="Times New Roman" w:cs="Segoe UI"/>
                <w:sz w:val="20"/>
              </w:rPr>
            </w:pPr>
            <w:r w:rsidRPr="00DE32D7">
              <w:rPr>
                <w:sz w:val="20"/>
              </w:rPr>
              <w:t xml:space="preserve">The integration of </w:t>
            </w:r>
            <w:r w:rsidR="0039327B">
              <w:rPr>
                <w:sz w:val="20"/>
              </w:rPr>
              <w:t>GovWin IQ and Microsoft Dynamics for Sales</w:t>
            </w:r>
            <w:r w:rsidRPr="00DE32D7">
              <w:rPr>
                <w:sz w:val="20"/>
              </w:rPr>
              <w:t xml:space="preserve"> centralize</w:t>
            </w:r>
            <w:r w:rsidR="0039327B">
              <w:rPr>
                <w:sz w:val="20"/>
              </w:rPr>
              <w:t>s</w:t>
            </w:r>
            <w:r w:rsidRPr="00DE32D7">
              <w:rPr>
                <w:sz w:val="20"/>
              </w:rPr>
              <w:t xml:space="preserve"> </w:t>
            </w:r>
            <w:r>
              <w:rPr>
                <w:sz w:val="20"/>
              </w:rPr>
              <w:t xml:space="preserve">data </w:t>
            </w:r>
            <w:r w:rsidRPr="00DE32D7">
              <w:rPr>
                <w:sz w:val="20"/>
              </w:rPr>
              <w:t xml:space="preserve">and enables </w:t>
            </w:r>
            <w:r>
              <w:rPr>
                <w:sz w:val="20"/>
              </w:rPr>
              <w:t>Capture Managers</w:t>
            </w:r>
            <w:r w:rsidR="0039327B">
              <w:rPr>
                <w:sz w:val="20"/>
              </w:rPr>
              <w:t xml:space="preserve"> and BD Executives</w:t>
            </w:r>
            <w:r w:rsidRPr="00DE32D7">
              <w:rPr>
                <w:sz w:val="20"/>
              </w:rPr>
              <w:t xml:space="preserve"> to contextualize data from </w:t>
            </w:r>
            <w:r w:rsidR="0039327B">
              <w:rPr>
                <w:sz w:val="20"/>
              </w:rPr>
              <w:t>GovWin IQ</w:t>
            </w:r>
            <w:r w:rsidRPr="00DE32D7">
              <w:rPr>
                <w:sz w:val="20"/>
              </w:rPr>
              <w:t xml:space="preserve"> and track/report with accurate real time information, all with the click of a button.</w:t>
            </w:r>
          </w:p>
        </w:tc>
      </w:tr>
      <w:tr w:rsidR="002C11CE" w:rsidRPr="00060BCD" w14:paraId="41A18215" w14:textId="77777777" w:rsidTr="00060BCD">
        <w:trPr>
          <w:trHeight w:val="7468"/>
        </w:trPr>
        <w:tc>
          <w:tcPr>
            <w:tcW w:w="1594" w:type="dxa"/>
            <w:shd w:val="clear" w:color="auto" w:fill="92D050"/>
            <w:tcMar>
              <w:top w:w="72" w:type="dxa"/>
              <w:left w:w="72" w:type="dxa"/>
              <w:bottom w:w="72" w:type="dxa"/>
              <w:right w:w="72" w:type="dxa"/>
            </w:tcMar>
            <w:vAlign w:val="center"/>
          </w:tcPr>
          <w:p w14:paraId="2A9E3DFA" w14:textId="79F03F7E"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p>
        </w:tc>
        <w:tc>
          <w:tcPr>
            <w:tcW w:w="8560" w:type="dxa"/>
            <w:shd w:val="clear" w:color="auto" w:fill="FFFFFF"/>
            <w:tcMar>
              <w:top w:w="72" w:type="dxa"/>
              <w:left w:w="72" w:type="dxa"/>
              <w:bottom w:w="72" w:type="dxa"/>
              <w:right w:w="72" w:type="dxa"/>
            </w:tcMar>
            <w:vAlign w:val="center"/>
          </w:tcPr>
          <w:p w14:paraId="28CDAD71" w14:textId="78D4FAE2" w:rsidR="00105512" w:rsidRPr="00105512" w:rsidRDefault="00105512" w:rsidP="00105512">
            <w:pPr>
              <w:rPr>
                <w:b/>
                <w:i/>
                <w:sz w:val="20"/>
              </w:rPr>
            </w:pPr>
            <w:r w:rsidRPr="00105512">
              <w:rPr>
                <w:b/>
                <w:i/>
                <w:sz w:val="20"/>
              </w:rPr>
              <w:t>1)</w:t>
            </w:r>
            <w:r>
              <w:rPr>
                <w:b/>
                <w:i/>
                <w:sz w:val="20"/>
              </w:rPr>
              <w:t xml:space="preserve"> </w:t>
            </w:r>
            <w:r w:rsidR="005B264C" w:rsidRPr="005B264C">
              <w:rPr>
                <w:b/>
                <w:i/>
                <w:sz w:val="20"/>
              </w:rPr>
              <w:t>G</w:t>
            </w:r>
            <w:r w:rsidR="005B264C">
              <w:rPr>
                <w:b/>
                <w:i/>
                <w:sz w:val="20"/>
              </w:rPr>
              <w:t xml:space="preserve">ovWin IQ - Solicitation Request: </w:t>
            </w:r>
            <w:r w:rsidR="005B264C" w:rsidRPr="005B264C">
              <w:rPr>
                <w:b/>
                <w:i/>
                <w:sz w:val="20"/>
              </w:rPr>
              <w:t>User can import GovWin IQ data into Microsoft Dynamics for Sales by entering an GovWin IQ Opportunity ID number in the GovWin Opportunity Id field, saving, and clicking "Get GovWin IQ Data"</w:t>
            </w:r>
          </w:p>
          <w:p w14:paraId="758388B6" w14:textId="7C7A5D06" w:rsidR="00105512" w:rsidRPr="00105512" w:rsidRDefault="00105512" w:rsidP="00105512">
            <w:pPr>
              <w:rPr>
                <w:b/>
                <w:i/>
                <w:sz w:val="20"/>
              </w:rPr>
            </w:pPr>
            <w:r>
              <w:rPr>
                <w:b/>
                <w:i/>
                <w:sz w:val="20"/>
              </w:rPr>
              <w:t xml:space="preserve">2) </w:t>
            </w:r>
            <w:r w:rsidR="005B264C">
              <w:rPr>
                <w:b/>
                <w:i/>
                <w:sz w:val="20"/>
              </w:rPr>
              <w:t xml:space="preserve">GovWin IQ – Updates: </w:t>
            </w:r>
            <w:r w:rsidR="005B264C" w:rsidRPr="005B264C">
              <w:rPr>
                <w:b/>
                <w:i/>
                <w:sz w:val="20"/>
              </w:rPr>
              <w:t>User can view all modifications made to the GovWin IQ solicitation by clicking on Update records and viewing the before and after information</w:t>
            </w:r>
          </w:p>
          <w:p w14:paraId="5220A4F4" w14:textId="224D82B6" w:rsidR="00105512" w:rsidRPr="00105512" w:rsidRDefault="00105512" w:rsidP="00105512">
            <w:pPr>
              <w:rPr>
                <w:b/>
                <w:i/>
                <w:sz w:val="20"/>
              </w:rPr>
            </w:pPr>
            <w:r>
              <w:rPr>
                <w:b/>
                <w:i/>
                <w:sz w:val="20"/>
              </w:rPr>
              <w:t xml:space="preserve">3) </w:t>
            </w:r>
            <w:r w:rsidR="005B264C">
              <w:rPr>
                <w:b/>
                <w:i/>
                <w:sz w:val="20"/>
              </w:rPr>
              <w:t xml:space="preserve">GovWin IQ – Attachments: </w:t>
            </w:r>
            <w:r w:rsidR="005B264C" w:rsidRPr="005B264C">
              <w:rPr>
                <w:b/>
                <w:i/>
                <w:sz w:val="20"/>
              </w:rPr>
              <w:t>User can view attachments from GovWin IQ posted to the Files object of Microsoft Dynamics for Sales after getting GovWin IQ data</w:t>
            </w:r>
          </w:p>
          <w:p w14:paraId="496501C7" w14:textId="01856837" w:rsidR="00105512" w:rsidRPr="00105512" w:rsidRDefault="00105512" w:rsidP="00105512">
            <w:pPr>
              <w:rPr>
                <w:b/>
                <w:i/>
                <w:sz w:val="20"/>
              </w:rPr>
            </w:pPr>
            <w:r>
              <w:rPr>
                <w:b/>
                <w:i/>
                <w:sz w:val="20"/>
              </w:rPr>
              <w:t xml:space="preserve">4) </w:t>
            </w:r>
            <w:r w:rsidR="005B264C">
              <w:rPr>
                <w:b/>
                <w:i/>
                <w:sz w:val="20"/>
              </w:rPr>
              <w:t xml:space="preserve">GovWin IQ – Contact Roles: </w:t>
            </w:r>
            <w:r w:rsidR="005B264C" w:rsidRPr="005B264C">
              <w:rPr>
                <w:b/>
                <w:i/>
                <w:sz w:val="20"/>
              </w:rPr>
              <w:t>User can view contact roles from GovWin IQ posted to the GovWin IQ Opportunity Contact Roles object of FedCapture after getting GovWin IQ data</w:t>
            </w:r>
          </w:p>
          <w:p w14:paraId="430200AA" w14:textId="1FC0D5B5" w:rsidR="00105512" w:rsidRPr="00105512" w:rsidRDefault="00105512" w:rsidP="00105512">
            <w:pPr>
              <w:rPr>
                <w:b/>
                <w:i/>
                <w:sz w:val="20"/>
              </w:rPr>
            </w:pPr>
            <w:r>
              <w:rPr>
                <w:b/>
                <w:i/>
                <w:sz w:val="20"/>
              </w:rPr>
              <w:t xml:space="preserve">5) </w:t>
            </w:r>
            <w:r w:rsidR="005B264C">
              <w:rPr>
                <w:b/>
                <w:i/>
                <w:sz w:val="20"/>
              </w:rPr>
              <w:t xml:space="preserve">GovWin IQ – Batch Updates: </w:t>
            </w:r>
            <w:r w:rsidR="005B264C" w:rsidRPr="005B264C">
              <w:rPr>
                <w:b/>
                <w:i/>
                <w:sz w:val="20"/>
              </w:rPr>
              <w:t>Admins can configure an GovWin IQ nightly update using the standard Microsoft Dynamics for Sales schedule apex feature. Batch updates will update all GovWin IQ fields and add any new attachments to the record</w:t>
            </w:r>
          </w:p>
          <w:p w14:paraId="3EE05DA3" w14:textId="6A8855E2" w:rsidR="00105512" w:rsidRPr="00105512" w:rsidRDefault="00105512" w:rsidP="00105512">
            <w:pPr>
              <w:rPr>
                <w:b/>
                <w:i/>
                <w:sz w:val="20"/>
              </w:rPr>
            </w:pPr>
            <w:r>
              <w:rPr>
                <w:b/>
                <w:i/>
                <w:sz w:val="20"/>
              </w:rPr>
              <w:t xml:space="preserve">6) </w:t>
            </w:r>
            <w:r w:rsidR="005B264C">
              <w:rPr>
                <w:b/>
                <w:i/>
                <w:sz w:val="20"/>
              </w:rPr>
              <w:t xml:space="preserve">GovWin IQ – Web Links: </w:t>
            </w:r>
            <w:r w:rsidR="005B264C" w:rsidRPr="005B264C">
              <w:rPr>
                <w:b/>
                <w:i/>
                <w:sz w:val="20"/>
              </w:rPr>
              <w:t>Users can click on the weblinks and be brought to the record information directly in GovWin IQ as long as they are logged into both GovWin IQ and Microsoft Dynamics for Sales in the same browser</w:t>
            </w:r>
          </w:p>
          <w:p w14:paraId="31EA83B1" w14:textId="41852C8E" w:rsidR="005B264C" w:rsidRDefault="00105512" w:rsidP="00105512">
            <w:pPr>
              <w:rPr>
                <w:b/>
                <w:i/>
                <w:sz w:val="20"/>
              </w:rPr>
            </w:pPr>
            <w:r>
              <w:rPr>
                <w:b/>
                <w:i/>
                <w:sz w:val="20"/>
              </w:rPr>
              <w:t xml:space="preserve">7) </w:t>
            </w:r>
            <w:r w:rsidR="005B264C">
              <w:rPr>
                <w:b/>
                <w:i/>
                <w:sz w:val="20"/>
              </w:rPr>
              <w:t xml:space="preserve">GovWin IQ – Single Updates: </w:t>
            </w:r>
            <w:r w:rsidR="005B264C" w:rsidRPr="005B264C">
              <w:rPr>
                <w:b/>
                <w:i/>
                <w:sz w:val="20"/>
              </w:rPr>
              <w:t>User can update GovWin IQ data by clicking "Update GovWin IQ Data". This will update all GovWin IQ fields and add any new attachments to the record</w:t>
            </w:r>
          </w:p>
          <w:p w14:paraId="5CFBC42B" w14:textId="6758CEE4" w:rsidR="002C11CE" w:rsidRPr="00105512" w:rsidDel="009D3AB0" w:rsidRDefault="005B264C" w:rsidP="00105512">
            <w:pPr>
              <w:rPr>
                <w:sz w:val="20"/>
              </w:rPr>
            </w:pPr>
            <w:r>
              <w:rPr>
                <w:b/>
                <w:i/>
                <w:sz w:val="20"/>
              </w:rPr>
              <w:t xml:space="preserve">8) GovWin IQ – Configuration: </w:t>
            </w:r>
            <w:r w:rsidRPr="005B264C">
              <w:rPr>
                <w:b/>
                <w:i/>
                <w:sz w:val="20"/>
              </w:rPr>
              <w:t>Admin must configure GovWin IQ by setting up the GovWin IQ client and secret codes. These can be gotten from the GovWin IQ administrative panel and require a webservices license to access</w:t>
            </w:r>
            <w:r w:rsidR="00105512" w:rsidRPr="00105512" w:rsidDel="009D3AB0">
              <w:rPr>
                <w:b/>
                <w:i/>
                <w:sz w:val="20"/>
              </w:rPr>
              <w:t xml:space="preserve"> </w:t>
            </w:r>
          </w:p>
        </w:tc>
      </w:tr>
      <w:tr w:rsidR="002C11CE" w:rsidRPr="00060BCD" w14:paraId="76A9B064" w14:textId="77777777" w:rsidTr="002C11CE">
        <w:trPr>
          <w:trHeight w:val="559"/>
        </w:trPr>
        <w:tc>
          <w:tcPr>
            <w:tcW w:w="1594" w:type="dxa"/>
            <w:shd w:val="clear" w:color="auto" w:fill="92D050"/>
            <w:tcMar>
              <w:top w:w="72" w:type="dxa"/>
              <w:left w:w="72" w:type="dxa"/>
              <w:bottom w:w="72" w:type="dxa"/>
              <w:right w:w="72" w:type="dxa"/>
            </w:tcMar>
            <w:vAlign w:val="center"/>
            <w:hideMark/>
          </w:tcPr>
          <w:p w14:paraId="6C083F03"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7800FEB1" w14:textId="77777777" w:rsidR="002C11CE" w:rsidRDefault="001557C9" w:rsidP="001557C9">
            <w:pPr>
              <w:pStyle w:val="ListParagraph"/>
              <w:numPr>
                <w:ilvl w:val="0"/>
                <w:numId w:val="12"/>
              </w:numPr>
              <w:rPr>
                <w:rFonts w:eastAsia="Times New Roman" w:cs="Segoe UI"/>
                <w:sz w:val="20"/>
              </w:rPr>
            </w:pPr>
            <w:r>
              <w:rPr>
                <w:rFonts w:eastAsia="Times New Roman" w:cs="Segoe UI"/>
                <w:sz w:val="20"/>
              </w:rPr>
              <w:t>Successfully saving above data</w:t>
            </w:r>
          </w:p>
          <w:p w14:paraId="604CA02C" w14:textId="2E366068" w:rsidR="001557C9" w:rsidRPr="001557C9" w:rsidRDefault="001557C9" w:rsidP="005B264C">
            <w:pPr>
              <w:pStyle w:val="ListParagraph"/>
              <w:numPr>
                <w:ilvl w:val="0"/>
                <w:numId w:val="12"/>
              </w:numPr>
              <w:rPr>
                <w:rFonts w:eastAsia="Times New Roman" w:cs="Segoe UI"/>
                <w:sz w:val="20"/>
              </w:rPr>
            </w:pPr>
            <w:r>
              <w:rPr>
                <w:rFonts w:eastAsia="Times New Roman" w:cs="Segoe UI"/>
                <w:sz w:val="20"/>
              </w:rPr>
              <w:t xml:space="preserve">Successfully </w:t>
            </w:r>
            <w:r w:rsidR="00105512">
              <w:rPr>
                <w:rFonts w:eastAsia="Times New Roman" w:cs="Segoe UI"/>
                <w:sz w:val="20"/>
              </w:rPr>
              <w:t xml:space="preserve">viewing the </w:t>
            </w:r>
            <w:r w:rsidR="005B264C">
              <w:rPr>
                <w:rFonts w:eastAsia="Times New Roman" w:cs="Segoe UI"/>
                <w:sz w:val="20"/>
              </w:rPr>
              <w:t>GovWin IQ</w:t>
            </w:r>
            <w:r w:rsidR="00105512">
              <w:rPr>
                <w:rFonts w:eastAsia="Times New Roman" w:cs="Segoe UI"/>
                <w:sz w:val="20"/>
              </w:rPr>
              <w:t xml:space="preserve"> data </w:t>
            </w:r>
            <w:r w:rsidR="005B264C">
              <w:rPr>
                <w:rFonts w:eastAsia="Times New Roman" w:cs="Segoe UI"/>
                <w:sz w:val="20"/>
              </w:rPr>
              <w:t>in its tab o</w:t>
            </w:r>
            <w:bookmarkStart w:id="0" w:name="_GoBack"/>
            <w:bookmarkEnd w:id="0"/>
            <w:r w:rsidR="00105512">
              <w:rPr>
                <w:rFonts w:eastAsia="Times New Roman" w:cs="Segoe UI"/>
                <w:sz w:val="20"/>
              </w:rPr>
              <w:t>n the Opportunity Form</w:t>
            </w:r>
          </w:p>
        </w:tc>
      </w:tr>
    </w:tbl>
    <w:p w14:paraId="1E4E7899" w14:textId="77777777" w:rsidR="002C11CE" w:rsidRDefault="002C11CE"/>
    <w:p w14:paraId="4E756C4C" w14:textId="77777777"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CA2"/>
    <w:multiLevelType w:val="hybridMultilevel"/>
    <w:tmpl w:val="03E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C47FC"/>
    <w:multiLevelType w:val="hybridMultilevel"/>
    <w:tmpl w:val="C92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5F72BB"/>
    <w:multiLevelType w:val="hybridMultilevel"/>
    <w:tmpl w:val="6AD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1779"/>
    <w:multiLevelType w:val="hybridMultilevel"/>
    <w:tmpl w:val="D2780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744EA"/>
    <w:multiLevelType w:val="hybridMultilevel"/>
    <w:tmpl w:val="E0BABECE"/>
    <w:lvl w:ilvl="0" w:tplc="EB62C45E">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71226F68"/>
    <w:multiLevelType w:val="hybridMultilevel"/>
    <w:tmpl w:val="937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
  </w:num>
  <w:num w:numId="5">
    <w:abstractNumId w:val="0"/>
  </w:num>
  <w:num w:numId="6">
    <w:abstractNumId w:val="6"/>
  </w:num>
  <w:num w:numId="7">
    <w:abstractNumId w:val="11"/>
  </w:num>
  <w:num w:numId="8">
    <w:abstractNumId w:val="3"/>
  </w:num>
  <w:num w:numId="9">
    <w:abstractNumId w:val="4"/>
  </w:num>
  <w:num w:numId="10">
    <w:abstractNumId w:val="7"/>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99"/>
    <w:rsid w:val="00020743"/>
    <w:rsid w:val="00021947"/>
    <w:rsid w:val="00021D0A"/>
    <w:rsid w:val="00043A35"/>
    <w:rsid w:val="00060BCD"/>
    <w:rsid w:val="00093327"/>
    <w:rsid w:val="00097459"/>
    <w:rsid w:val="000B0E35"/>
    <w:rsid w:val="000E050A"/>
    <w:rsid w:val="00105512"/>
    <w:rsid w:val="00111FF4"/>
    <w:rsid w:val="00152435"/>
    <w:rsid w:val="001557C9"/>
    <w:rsid w:val="00165A3C"/>
    <w:rsid w:val="001930E9"/>
    <w:rsid w:val="001A10DD"/>
    <w:rsid w:val="001E59C8"/>
    <w:rsid w:val="001E6D66"/>
    <w:rsid w:val="001F4C7A"/>
    <w:rsid w:val="00200CEE"/>
    <w:rsid w:val="00234150"/>
    <w:rsid w:val="002352F9"/>
    <w:rsid w:val="0024359F"/>
    <w:rsid w:val="002477C0"/>
    <w:rsid w:val="002A0867"/>
    <w:rsid w:val="002A503B"/>
    <w:rsid w:val="002C11CE"/>
    <w:rsid w:val="002D2A47"/>
    <w:rsid w:val="002E31BB"/>
    <w:rsid w:val="003613BD"/>
    <w:rsid w:val="003634B2"/>
    <w:rsid w:val="00370B2A"/>
    <w:rsid w:val="00386779"/>
    <w:rsid w:val="0039327B"/>
    <w:rsid w:val="003A53E2"/>
    <w:rsid w:val="003D4DCD"/>
    <w:rsid w:val="003D51F0"/>
    <w:rsid w:val="003E0511"/>
    <w:rsid w:val="00443112"/>
    <w:rsid w:val="00450D0D"/>
    <w:rsid w:val="0047296A"/>
    <w:rsid w:val="0047458F"/>
    <w:rsid w:val="0048698E"/>
    <w:rsid w:val="00490C51"/>
    <w:rsid w:val="004A088F"/>
    <w:rsid w:val="004C0514"/>
    <w:rsid w:val="004C0C47"/>
    <w:rsid w:val="004E017A"/>
    <w:rsid w:val="00511CB3"/>
    <w:rsid w:val="005165C4"/>
    <w:rsid w:val="00543218"/>
    <w:rsid w:val="00560699"/>
    <w:rsid w:val="00564BDA"/>
    <w:rsid w:val="005A2B10"/>
    <w:rsid w:val="005A4EDE"/>
    <w:rsid w:val="005B264C"/>
    <w:rsid w:val="00616158"/>
    <w:rsid w:val="00686406"/>
    <w:rsid w:val="006907F8"/>
    <w:rsid w:val="006961E1"/>
    <w:rsid w:val="00696B27"/>
    <w:rsid w:val="006A4A95"/>
    <w:rsid w:val="00724536"/>
    <w:rsid w:val="007C606B"/>
    <w:rsid w:val="007D5736"/>
    <w:rsid w:val="007E0035"/>
    <w:rsid w:val="007E556F"/>
    <w:rsid w:val="007F52E6"/>
    <w:rsid w:val="0080738C"/>
    <w:rsid w:val="00822E87"/>
    <w:rsid w:val="008418CD"/>
    <w:rsid w:val="00851445"/>
    <w:rsid w:val="0085666C"/>
    <w:rsid w:val="00876B53"/>
    <w:rsid w:val="00895483"/>
    <w:rsid w:val="008F31C6"/>
    <w:rsid w:val="00967128"/>
    <w:rsid w:val="00993641"/>
    <w:rsid w:val="009A55F4"/>
    <w:rsid w:val="009B021D"/>
    <w:rsid w:val="00A20A18"/>
    <w:rsid w:val="00A46192"/>
    <w:rsid w:val="00AA0C81"/>
    <w:rsid w:val="00AA4FB0"/>
    <w:rsid w:val="00AC7419"/>
    <w:rsid w:val="00B0288E"/>
    <w:rsid w:val="00B12D77"/>
    <w:rsid w:val="00B217A9"/>
    <w:rsid w:val="00B3670E"/>
    <w:rsid w:val="00B926A5"/>
    <w:rsid w:val="00C27444"/>
    <w:rsid w:val="00C41197"/>
    <w:rsid w:val="00C43E01"/>
    <w:rsid w:val="00CB120C"/>
    <w:rsid w:val="00CC3F95"/>
    <w:rsid w:val="00D37582"/>
    <w:rsid w:val="00D51FFC"/>
    <w:rsid w:val="00DA2FA1"/>
    <w:rsid w:val="00DE0D62"/>
    <w:rsid w:val="00DE32D7"/>
    <w:rsid w:val="00E14888"/>
    <w:rsid w:val="00E76D40"/>
    <w:rsid w:val="00EA5181"/>
    <w:rsid w:val="00F0338F"/>
    <w:rsid w:val="00F045B0"/>
    <w:rsid w:val="00F451E5"/>
    <w:rsid w:val="00F51545"/>
    <w:rsid w:val="00F62FA4"/>
    <w:rsid w:val="00F635A2"/>
    <w:rsid w:val="00F70C26"/>
    <w:rsid w:val="00F8210C"/>
    <w:rsid w:val="00F853DB"/>
    <w:rsid w:val="00F91D19"/>
    <w:rsid w:val="00FD2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 w:id="1462072413">
      <w:bodyDiv w:val="1"/>
      <w:marLeft w:val="0"/>
      <w:marRight w:val="0"/>
      <w:marTop w:val="0"/>
      <w:marBottom w:val="0"/>
      <w:divBdr>
        <w:top w:val="none" w:sz="0" w:space="0" w:color="auto"/>
        <w:left w:val="none" w:sz="0" w:space="0" w:color="auto"/>
        <w:bottom w:val="none" w:sz="0" w:space="0" w:color="auto"/>
        <w:right w:val="none" w:sz="0" w:space="0" w:color="auto"/>
      </w:divBdr>
    </w:div>
    <w:div w:id="1525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51CBA6-5B20-47D4-9BC1-0A6511AB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Nalam</dc:creator>
  <cp:lastModifiedBy>Ife Idowu</cp:lastModifiedBy>
  <cp:revision>5</cp:revision>
  <dcterms:created xsi:type="dcterms:W3CDTF">2018-08-26T14:31:00Z</dcterms:created>
  <dcterms:modified xsi:type="dcterms:W3CDTF">2018-08-26T14:57:00Z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