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1"/>
        <w:gridCol w:w="361"/>
        <w:gridCol w:w="2520"/>
        <w:gridCol w:w="270"/>
        <w:gridCol w:w="270"/>
        <w:gridCol w:w="2502"/>
        <w:gridCol w:w="278"/>
        <w:gridCol w:w="279"/>
        <w:gridCol w:w="2503"/>
        <w:gridCol w:w="368"/>
        <w:gridCol w:w="368"/>
      </w:tblGrid>
      <w:tr w:rsidR="00400430" w:rsidRPr="00F30456" w:rsidTr="00687A33">
        <w:trPr>
          <w:trHeight w:hRule="exact" w:val="317"/>
        </w:trPr>
        <w:tc>
          <w:tcPr>
            <w:tcW w:w="361" w:type="dxa"/>
          </w:tcPr>
          <w:p w:rsidR="00400430" w:rsidRPr="00F30456" w:rsidRDefault="00400430" w:rsidP="00687A33">
            <w:pPr>
              <w:pStyle w:val="Heading2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400430" w:rsidRPr="00F30456" w:rsidRDefault="00400430" w:rsidP="00687A33">
            <w:pPr>
              <w:pStyle w:val="Heading2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400430" w:rsidRPr="00F30456" w:rsidRDefault="00400430" w:rsidP="00687A33">
            <w:pPr>
              <w:pStyle w:val="Heading2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540" w:type="dxa"/>
            <w:gridSpan w:val="2"/>
            <w:shd w:val="clear" w:color="auto" w:fill="D6E3BC" w:themeFill="accent3" w:themeFillTint="66"/>
          </w:tcPr>
          <w:p w:rsidR="00400430" w:rsidRPr="00F30456" w:rsidRDefault="00400430" w:rsidP="00687A33">
            <w:pPr>
              <w:pStyle w:val="Heading2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400430" w:rsidRPr="00F30456" w:rsidRDefault="00400430" w:rsidP="00F25F2C">
            <w:pPr>
              <w:rPr>
                <w:lang w:val="ro-RO"/>
              </w:rPr>
            </w:pPr>
          </w:p>
        </w:tc>
        <w:tc>
          <w:tcPr>
            <w:tcW w:w="557" w:type="dxa"/>
            <w:gridSpan w:val="2"/>
            <w:shd w:val="clear" w:color="auto" w:fill="D6E3BC" w:themeFill="accent3" w:themeFillTint="66"/>
          </w:tcPr>
          <w:p w:rsidR="00400430" w:rsidRPr="00F30456" w:rsidRDefault="00400430" w:rsidP="00F25F2C">
            <w:pPr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400430" w:rsidRPr="00F30456" w:rsidRDefault="00400430" w:rsidP="00F25F2C">
            <w:pPr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400430" w:rsidRPr="00F30456" w:rsidRDefault="00400430" w:rsidP="00F25F2C">
            <w:pPr>
              <w:rPr>
                <w:lang w:val="ro-RO"/>
              </w:rPr>
            </w:pPr>
          </w:p>
        </w:tc>
        <w:tc>
          <w:tcPr>
            <w:tcW w:w="368" w:type="dxa"/>
          </w:tcPr>
          <w:p w:rsidR="00400430" w:rsidRPr="00F30456" w:rsidRDefault="00400430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val="2149"/>
        </w:trPr>
        <w:tc>
          <w:tcPr>
            <w:tcW w:w="361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A05C65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Iulie</w:t>
                  </w:r>
                </w:p>
              </w:tc>
            </w:tr>
            <w:tr w:rsidR="00A05C65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</w:tr>
            <w:tr w:rsidR="00687A33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</w:tr>
            <w:tr w:rsidR="00687A33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</w:tr>
            <w:tr w:rsidR="00687A33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</w:tr>
            <w:tr w:rsidR="00687A33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  <w:tr w:rsidR="00687A33" w:rsidRPr="00F30456" w:rsidTr="00A05C6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August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Septembrie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247"/>
        </w:trPr>
        <w:tc>
          <w:tcPr>
            <w:tcW w:w="361" w:type="dxa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val="2149"/>
        </w:trPr>
        <w:tc>
          <w:tcPr>
            <w:tcW w:w="361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Octombrie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Noiembrie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Decembrie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238"/>
        </w:trPr>
        <w:tc>
          <w:tcPr>
            <w:tcW w:w="361" w:type="dxa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val="2149"/>
        </w:trPr>
        <w:tc>
          <w:tcPr>
            <w:tcW w:w="361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Ianuarie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Februarie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Martie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247"/>
        </w:trPr>
        <w:tc>
          <w:tcPr>
            <w:tcW w:w="361" w:type="dxa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val="2149"/>
        </w:trPr>
        <w:tc>
          <w:tcPr>
            <w:tcW w:w="361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Aprilie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Mai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304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F30456" w:rsidRDefault="00F87537" w:rsidP="00DD43C3">
                  <w:pPr>
                    <w:pStyle w:val="Month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rFonts w:ascii="Cambria" w:hAnsi="Cambria"/>
                      <w:color w:val="8064A2"/>
                      <w:lang w:val="ro-RO"/>
                    </w:rPr>
                    <w:t>Iunie</w:t>
                  </w:r>
                </w:p>
              </w:tc>
            </w:tr>
            <w:tr w:rsidR="00A05C65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Mi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J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A05C65" w:rsidRPr="00F30456" w:rsidRDefault="00A05C65" w:rsidP="00A05C65">
                  <w:pPr>
                    <w:pStyle w:val="DaysoftheWeek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V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6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13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20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27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  <w:r w:rsidRPr="00F30456">
                    <w:rPr>
                      <w:lang w:val="ro-RO"/>
                    </w:rPr>
                    <w:t> </w:t>
                  </w:r>
                </w:p>
              </w:tc>
            </w:tr>
            <w:tr w:rsidR="00687A33" w:rsidRPr="00F304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F30456" w:rsidRDefault="00687A33" w:rsidP="00687A33">
                  <w:pPr>
                    <w:pStyle w:val="Dates"/>
                    <w:framePr w:hSpace="0" w:wrap="auto" w:vAnchor="margin" w:hAnchor="text" w:xAlign="left" w:yAlign="inline"/>
                    <w:rPr>
                      <w:lang w:val="ro-RO"/>
                    </w:rPr>
                  </w:pPr>
                </w:p>
              </w:tc>
            </w:tr>
          </w:tbl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687A33">
            <w:pPr>
              <w:jc w:val="center"/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256"/>
        </w:trPr>
        <w:tc>
          <w:tcPr>
            <w:tcW w:w="361" w:type="dxa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  <w:tc>
          <w:tcPr>
            <w:tcW w:w="368" w:type="dxa"/>
          </w:tcPr>
          <w:p w:rsidR="00897116" w:rsidRPr="00F30456" w:rsidRDefault="00897116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292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noProof/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noProof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 w:val="restart"/>
            <w:shd w:val="clear" w:color="auto" w:fill="CCC0D9" w:themeFill="accent4" w:themeFillTint="66"/>
            <w:vAlign w:val="center"/>
          </w:tcPr>
          <w:p w:rsidR="00687A33" w:rsidRPr="00F30456" w:rsidRDefault="00687A33" w:rsidP="00687A33">
            <w:pPr>
              <w:pStyle w:val="Heading2"/>
              <w:framePr w:hSpace="0" w:wrap="auto" w:vAnchor="margin" w:hAnchor="text" w:xAlign="left" w:yAlign="inline"/>
              <w:rPr>
                <w:lang w:val="ro-RO"/>
              </w:rPr>
            </w:pPr>
            <w:r w:rsidRPr="00F30456">
              <w:rPr>
                <w:lang w:val="ro-RO"/>
              </w:rPr>
              <w:t>2007</w:t>
            </w:r>
          </w:p>
          <w:p w:rsidR="00687A33" w:rsidRPr="00F30456" w:rsidRDefault="00687A33" w:rsidP="00687A33">
            <w:pPr>
              <w:pStyle w:val="Heading2"/>
              <w:framePr w:hSpace="0" w:wrap="auto" w:vAnchor="margin" w:hAnchor="text" w:xAlign="left" w:yAlign="inline"/>
              <w:rPr>
                <w:lang w:val="ro-RO"/>
              </w:rPr>
            </w:pPr>
            <w:r w:rsidRPr="00F30456">
              <w:rPr>
                <w:lang w:val="ro-RO"/>
              </w:rPr>
              <w:t>2008</w:t>
            </w:r>
          </w:p>
          <w:p w:rsidR="00687A33" w:rsidRPr="00F30456" w:rsidRDefault="00F30456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  <w:r w:rsidRPr="00F30456">
              <w:rPr>
                <w:lang w:val="ro-RO"/>
              </w:rPr>
              <w:t>Financiar anual</w:t>
            </w: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DD43C3">
            <w:pPr>
              <w:pStyle w:val="Notes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color w:val="FFFFFF" w:themeColor="background1"/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color w:val="FFFFFF" w:themeColor="background1"/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color w:val="FFFFFF" w:themeColor="background1"/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color w:val="FFFFFF" w:themeColor="background1"/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color w:val="FFFFFF" w:themeColor="background1"/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F30456" w:rsidRDefault="00687A33" w:rsidP="00F25F2C">
            <w:pPr>
              <w:rPr>
                <w:color w:val="FFFFFF" w:themeColor="background1"/>
                <w:lang w:val="ro-RO"/>
              </w:rPr>
            </w:pPr>
          </w:p>
        </w:tc>
        <w:tc>
          <w:tcPr>
            <w:tcW w:w="368" w:type="dxa"/>
          </w:tcPr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  <w:tr w:rsidR="00687A33" w:rsidRPr="00F30456" w:rsidTr="00687A33">
        <w:trPr>
          <w:trHeight w:hRule="exact" w:val="317"/>
        </w:trPr>
        <w:tc>
          <w:tcPr>
            <w:tcW w:w="361" w:type="dxa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279" w:type="dxa"/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F30456" w:rsidRDefault="00687A33" w:rsidP="00DD43C3">
            <w:pPr>
              <w:pStyle w:val="Heading1"/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368" w:type="dxa"/>
            <w:shd w:val="clear" w:color="auto" w:fill="CCC0D9" w:themeFill="accent4" w:themeFillTint="66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</w:tc>
        <w:tc>
          <w:tcPr>
            <w:tcW w:w="368" w:type="dxa"/>
            <w:vAlign w:val="bottom"/>
          </w:tcPr>
          <w:p w:rsidR="00687A33" w:rsidRPr="00F30456" w:rsidRDefault="00687A33" w:rsidP="00F25F2C">
            <w:pPr>
              <w:jc w:val="center"/>
              <w:rPr>
                <w:lang w:val="ro-RO"/>
              </w:rPr>
            </w:pPr>
          </w:p>
          <w:p w:rsidR="00687A33" w:rsidRPr="00F30456" w:rsidRDefault="00687A33" w:rsidP="00F25F2C">
            <w:pPr>
              <w:rPr>
                <w:lang w:val="ro-RO"/>
              </w:rPr>
            </w:pPr>
          </w:p>
          <w:p w:rsidR="00687A33" w:rsidRPr="00F30456" w:rsidRDefault="00687A33" w:rsidP="00F25F2C">
            <w:pPr>
              <w:rPr>
                <w:lang w:val="ro-RO"/>
              </w:rPr>
            </w:pPr>
          </w:p>
        </w:tc>
      </w:tr>
    </w:tbl>
    <w:p w:rsidR="00470873" w:rsidRPr="00F30456" w:rsidRDefault="00473F1B">
      <w:pPr>
        <w:rPr>
          <w:lang w:val="ro-RO"/>
        </w:rPr>
      </w:pPr>
      <w:r w:rsidRPr="00F30456">
        <w:rPr>
          <w:noProof/>
          <w:lang w:val="ro-RO"/>
        </w:rPr>
        <w:pict>
          <v:rect id="_x0000_s1028" style="position:absolute;margin-left:0;margin-top:0;width:526.6pt;height:10in;z-index:-251658752;mso-position-horizontal:center;mso-position-horizontal-relative:page;mso-position-vertical:center;mso-position-vertical-relative:page" o:allowincell="f" fillcolor="#92cddc [1944]" stroked="f">
            <v:fill color2="fill lighten(51)" angle="-45" focusposition=".5,.5" focussize="" method="linear sigma" focus="-50%" type="gradient"/>
            <w10:wrap anchorx="page" anchory="page"/>
          </v:rect>
        </w:pict>
      </w:r>
    </w:p>
    <w:sectPr w:rsidR="00470873" w:rsidRPr="00F30456" w:rsidSect="00A05C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Formatting/>
  <w:defaultTabStop w:val="720"/>
  <w:drawingGridHorizontalSpacing w:val="120"/>
  <w:displayHorizontalDrawingGridEvery w:val="2"/>
  <w:characterSpacingControl w:val="doNotCompress"/>
  <w:compat/>
  <w:rsids>
    <w:rsidRoot w:val="00F87537"/>
    <w:rsid w:val="00012509"/>
    <w:rsid w:val="00061467"/>
    <w:rsid w:val="000B632A"/>
    <w:rsid w:val="00177DCC"/>
    <w:rsid w:val="00187BE1"/>
    <w:rsid w:val="001C5986"/>
    <w:rsid w:val="001E0BD6"/>
    <w:rsid w:val="00215158"/>
    <w:rsid w:val="00255A91"/>
    <w:rsid w:val="002D6EE8"/>
    <w:rsid w:val="002E3D2B"/>
    <w:rsid w:val="003356EA"/>
    <w:rsid w:val="00342904"/>
    <w:rsid w:val="003901B0"/>
    <w:rsid w:val="003A2488"/>
    <w:rsid w:val="003A2579"/>
    <w:rsid w:val="003E5E26"/>
    <w:rsid w:val="00400430"/>
    <w:rsid w:val="0043027D"/>
    <w:rsid w:val="00452FB6"/>
    <w:rsid w:val="00453F03"/>
    <w:rsid w:val="00470873"/>
    <w:rsid w:val="00473F1B"/>
    <w:rsid w:val="004A2931"/>
    <w:rsid w:val="004B2ED0"/>
    <w:rsid w:val="004F59A0"/>
    <w:rsid w:val="005A3544"/>
    <w:rsid w:val="005E653D"/>
    <w:rsid w:val="00623605"/>
    <w:rsid w:val="00674FDE"/>
    <w:rsid w:val="00685DA7"/>
    <w:rsid w:val="00687A33"/>
    <w:rsid w:val="00780D70"/>
    <w:rsid w:val="008638C6"/>
    <w:rsid w:val="00891D22"/>
    <w:rsid w:val="00897116"/>
    <w:rsid w:val="00902A43"/>
    <w:rsid w:val="009524C9"/>
    <w:rsid w:val="00966F96"/>
    <w:rsid w:val="009C38FD"/>
    <w:rsid w:val="00A05C65"/>
    <w:rsid w:val="00A05D8D"/>
    <w:rsid w:val="00A22A84"/>
    <w:rsid w:val="00AD770A"/>
    <w:rsid w:val="00AF618D"/>
    <w:rsid w:val="00BA7B6F"/>
    <w:rsid w:val="00BB48DF"/>
    <w:rsid w:val="00BC3253"/>
    <w:rsid w:val="00BD3866"/>
    <w:rsid w:val="00BF4B11"/>
    <w:rsid w:val="00C3024C"/>
    <w:rsid w:val="00CD790A"/>
    <w:rsid w:val="00D302AB"/>
    <w:rsid w:val="00D616DB"/>
    <w:rsid w:val="00D83A46"/>
    <w:rsid w:val="00DA6193"/>
    <w:rsid w:val="00DB288E"/>
    <w:rsid w:val="00DD391A"/>
    <w:rsid w:val="00DD43C3"/>
    <w:rsid w:val="00E840BC"/>
    <w:rsid w:val="00EC41E7"/>
    <w:rsid w:val="00ED6694"/>
    <w:rsid w:val="00F07F82"/>
    <w:rsid w:val="00F20756"/>
    <w:rsid w:val="00F25F2C"/>
    <w:rsid w:val="00F30456"/>
    <w:rsid w:val="00F309AA"/>
    <w:rsid w:val="00F626A5"/>
    <w:rsid w:val="00F64BB3"/>
    <w:rsid w:val="00F87537"/>
    <w:rsid w:val="00FF26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B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Theme="majorHAnsi" w:hAnsiTheme="majorHAnsi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Theme="majorHAnsi" w:hAnsiTheme="majorHAnsi"/>
      <w:color w:val="404040" w:themeColor="text1" w:themeTint="BF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Theme="majorHAnsi" w:hAnsiTheme="majorHAnsi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Theme="majorHAnsi" w:hAnsiTheme="majorHAnsi"/>
      <w:color w:val="404040" w:themeColor="text1" w:themeTint="BF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 w:themeColor="accent4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Theme="majorHAnsi" w:eastAsia="Georgia" w:hAnsiTheme="majorHAnsi"/>
      <w:caps/>
      <w:color w:val="4BACC6" w:themeColor="accent5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Theme="majorHAnsi" w:eastAsia="Georgia" w:hAnsiTheme="majorHAnsi"/>
      <w:color w:val="404040" w:themeColor="text1" w:themeTint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Theme="majorHAnsi" w:hAnsiTheme="majorHAnsi"/>
      <w:color w:val="BFBFBF" w:themeColor="background1" w:themeShade="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  <w:style w:type="paragraph" w:customStyle="1" w:styleId="Zilelesptmnii">
    <w:name w:val="Zilele săptămânii"/>
    <w:rsid w:val="00A05C65"/>
    <w:pPr>
      <w:jc w:val="center"/>
    </w:pPr>
    <w:rPr>
      <w:rFonts w:ascii="Trebuchet MS" w:hAnsi="Trebuchet MS" w:cs="Trebuchet MS"/>
      <w:b/>
      <w:color w:val="00336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Calendar an fiscal 2007-2008 (Luni-Vineri)</TPFriendlyName>
    <NumericId xmlns="cf237c1f-e9f7-4812-a5e3-e7fff9ac6432">-1</NumericId>
    <BusinessGroup xmlns="cf237c1f-e9f7-4812-a5e3-e7fff9ac6432" xsi:nil="true"/>
    <SourceTitle xmlns="cf237c1f-e9f7-4812-a5e3-e7fff9ac6432">2007-2008 fiscal year calendar (Mon-Fri)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70665</Value>
      <Value>232801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TP010236818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>O14_beta1</UANotes>
    <ShowIn xmlns="cf237c1f-e9f7-4812-a5e3-e7fff9ac6432" xsi:nil="true"/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38328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3BE40EAC-CF89-45EE-8284-A646198A126D}"/>
</file>

<file path=customXml/itemProps2.xml><?xml version="1.0" encoding="utf-8"?>
<ds:datastoreItem xmlns:ds="http://schemas.openxmlformats.org/officeDocument/2006/customXml" ds:itemID="{0B32B867-39C1-42F3-AB61-BE4A5FB1C819}"/>
</file>

<file path=customXml/itemProps3.xml><?xml version="1.0" encoding="utf-8"?>
<ds:datastoreItem xmlns:ds="http://schemas.openxmlformats.org/officeDocument/2006/customXml" ds:itemID="{DA513A83-AD17-4CC3-AD81-2B00A6B6C696}"/>
</file>

<file path=docProps/app.xml><?xml version="1.0" encoding="utf-8"?>
<Properties xmlns="http://schemas.openxmlformats.org/officeDocument/2006/extended-properties" xmlns:vt="http://schemas.openxmlformats.org/officeDocument/2006/docPropsVTypes">
  <Template>2007-2008FY_calendar_TP10236818.dotx</Template>
  <TotalTime>12</TotalTime>
  <Pages>1</Pages>
  <Words>199</Words>
  <Characters>1205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fiscal year calendar (Mon-Fri)</dc:title>
  <dc:subject/>
  <dc:creator>Pavel Hlavaty</dc:creator>
  <cp:keywords/>
  <dc:description/>
  <cp:lastModifiedBy>Pavel Hlavaty</cp:lastModifiedBy>
  <cp:revision>2</cp:revision>
  <cp:lastPrinted>2007-07-03T18:38:00Z</cp:lastPrinted>
  <dcterms:created xsi:type="dcterms:W3CDTF">2007-11-08T10:47:00Z</dcterms:created>
  <dcterms:modified xsi:type="dcterms:W3CDTF">2007-11-12T13:02:00Z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0x0101000FFA72057F0EFC429FF335CB9960E2CA0400A26729C09131F943A3C8875F9AFFF790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12;#427;#Template 14;#436;#Word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8678100</vt:r8>
  </property>
</Properties>
</file>