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47ABD200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7B739EF7" w:rsidR="003602B1" w:rsidRDefault="00EC4030" w:rsidP="00EC403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666B7" wp14:editId="13BF3B72">
                                  <wp:extent cx="2484755" cy="53213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7B739EF7" w:rsidR="003602B1" w:rsidRDefault="00EC4030" w:rsidP="00EC403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666B7" wp14:editId="13BF3B72">
                            <wp:extent cx="2484755" cy="53213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ED2D71">
        <w:rPr>
          <w:rFonts w:ascii="Segoe UI" w:hAnsi="Segoe UI" w:cs="Segoe UI"/>
          <w:b/>
          <w:sz w:val="32"/>
          <w:szCs w:val="32"/>
        </w:rPr>
        <w:t>Russia</w:t>
      </w:r>
      <w:r w:rsidR="00F06F02">
        <w:rPr>
          <w:rFonts w:ascii="Segoe UI" w:hAnsi="Segoe UI" w:cs="Segoe UI"/>
          <w:b/>
          <w:sz w:val="32"/>
          <w:szCs w:val="32"/>
        </w:rPr>
        <w:t xml:space="preserve"> 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3638DCED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3E803E79" w:rsidR="00DE70E0" w:rsidRDefault="00ED2D71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2F14CA94" wp14:editId="7D3D3E17">
            <wp:simplePos x="0" y="0"/>
            <wp:positionH relativeFrom="column">
              <wp:posOffset>3657600</wp:posOffset>
            </wp:positionH>
            <wp:positionV relativeFrom="paragraph">
              <wp:posOffset>56515</wp:posOffset>
            </wp:positionV>
            <wp:extent cx="3392424" cy="2075688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78BB68B6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62D402AB" w:rsidR="00B43178" w:rsidRPr="00F31F01" w:rsidRDefault="00ED2D7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Russia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 w:rsidR="001B7A17">
        <w:rPr>
          <w:rFonts w:ascii="Segoe UI" w:hAnsi="Segoe UI" w:cs="Segoe UI"/>
          <w:b/>
          <w:sz w:val="28"/>
          <w:szCs w:val="28"/>
        </w:rPr>
        <w:t>1</w:t>
      </w:r>
      <w:r w:rsidR="00F114E9">
        <w:rPr>
          <w:rFonts w:ascii="Segoe UI" w:hAnsi="Segoe UI" w:cs="Segoe UI"/>
          <w:b/>
          <w:sz w:val="28"/>
          <w:szCs w:val="28"/>
        </w:rPr>
        <w:t>2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137123C7" w:rsidR="00F91B89" w:rsidRDefault="003F5B64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74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>Russia</w:t>
      </w:r>
      <w:r w:rsidR="00C973E0">
        <w:rPr>
          <w:rFonts w:ascii="Segoe UI" w:hAnsi="Segoe UI" w:cs="Segoe UI"/>
          <w:sz w:val="20"/>
          <w:szCs w:val="20"/>
        </w:rPr>
        <w:t xml:space="preserve"> </w:t>
      </w:r>
      <w:r w:rsidR="001C2075">
        <w:rPr>
          <w:rFonts w:ascii="Segoe UI" w:hAnsi="Segoe UI" w:cs="Segoe UI"/>
          <w:sz w:val="20"/>
          <w:szCs w:val="20"/>
        </w:rPr>
        <w:t>exceeded</w:t>
      </w:r>
      <w:r w:rsidR="00B76105">
        <w:rPr>
          <w:rFonts w:ascii="Segoe UI" w:hAnsi="Segoe UI" w:cs="Segoe UI"/>
          <w:sz w:val="20"/>
          <w:szCs w:val="20"/>
        </w:rPr>
        <w:t xml:space="preserve"> </w:t>
      </w:r>
      <w:r w:rsidR="00F3704E"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 w:rsidR="00F3704E">
        <w:rPr>
          <w:rFonts w:ascii="Segoe UI" w:hAnsi="Segoe UI" w:cs="Segoe UI"/>
          <w:sz w:val="20"/>
          <w:szCs w:val="20"/>
        </w:rPr>
        <w:t xml:space="preserve">averages on </w:t>
      </w:r>
      <w:r>
        <w:rPr>
          <w:rFonts w:ascii="Segoe UI" w:hAnsi="Segoe UI" w:cs="Segoe UI"/>
          <w:sz w:val="20"/>
          <w:szCs w:val="20"/>
        </w:rPr>
        <w:t xml:space="preserve">Behavioral and Intrusive </w:t>
      </w:r>
      <w:r w:rsidR="00F3704E">
        <w:rPr>
          <w:rFonts w:ascii="Segoe UI" w:hAnsi="Segoe UI" w:cs="Segoe UI"/>
          <w:sz w:val="20"/>
          <w:szCs w:val="20"/>
        </w:rPr>
        <w:t xml:space="preserve">risks and </w:t>
      </w:r>
      <w:r w:rsidR="00B76105">
        <w:rPr>
          <w:rFonts w:ascii="Segoe UI" w:hAnsi="Segoe UI" w:cs="Segoe UI"/>
          <w:sz w:val="20"/>
          <w:szCs w:val="20"/>
        </w:rPr>
        <w:t xml:space="preserve">was </w:t>
      </w:r>
      <w:r w:rsidR="00F3704E">
        <w:rPr>
          <w:rFonts w:ascii="Segoe UI" w:hAnsi="Segoe UI" w:cs="Segoe UI"/>
          <w:sz w:val="20"/>
          <w:szCs w:val="20"/>
        </w:rPr>
        <w:t xml:space="preserve">below average on </w:t>
      </w:r>
      <w:r>
        <w:rPr>
          <w:rFonts w:ascii="Segoe UI" w:hAnsi="Segoe UI" w:cs="Segoe UI"/>
          <w:sz w:val="20"/>
          <w:szCs w:val="20"/>
        </w:rPr>
        <w:t>Sexual</w:t>
      </w:r>
      <w:r w:rsidR="00F3704E">
        <w:rPr>
          <w:rFonts w:ascii="Segoe UI" w:hAnsi="Segoe UI" w:cs="Segoe UI"/>
          <w:sz w:val="20"/>
          <w:szCs w:val="20"/>
        </w:rPr>
        <w:t xml:space="preserve"> risks.</w:t>
      </w:r>
    </w:p>
    <w:p w14:paraId="21CA0B5C" w14:textId="6064636F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61145DE0" w:rsidR="00CD6852" w:rsidRPr="003863D0" w:rsidRDefault="002544A0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</w:t>
      </w:r>
      <w:r w:rsidR="00CD6852">
        <w:rPr>
          <w:rFonts w:ascii="Segoe UI" w:hAnsi="Segoe UI" w:cs="Segoe UI"/>
          <w:b/>
          <w:sz w:val="20"/>
          <w:szCs w:val="20"/>
        </w:rPr>
        <w:t>e</w:t>
      </w:r>
      <w:r>
        <w:rPr>
          <w:rFonts w:ascii="Segoe UI" w:hAnsi="Segoe UI" w:cs="Segoe UI"/>
          <w:b/>
          <w:sz w:val="20"/>
          <w:szCs w:val="20"/>
        </w:rPr>
        <w:t>havioral</w:t>
      </w:r>
    </w:p>
    <w:p w14:paraId="66A0F584" w14:textId="295196B2" w:rsidR="00CD6852" w:rsidRPr="003563A9" w:rsidRDefault="002544A0" w:rsidP="00104A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Treated mean </w:t>
      </w:r>
      <w:r w:rsidR="003F5B64" w:rsidRPr="003F5B64">
        <w:rPr>
          <w:noProof/>
        </w:rPr>
        <w:drawing>
          <wp:anchor distT="0" distB="0" distL="114300" distR="114300" simplePos="0" relativeHeight="251757568" behindDoc="0" locked="0" layoutInCell="1" allowOverlap="1" wp14:anchorId="11CEA41A" wp14:editId="2AC9187F">
            <wp:simplePos x="0" y="0"/>
            <wp:positionH relativeFrom="column">
              <wp:posOffset>3695700</wp:posOffset>
            </wp:positionH>
            <wp:positionV relativeFrom="paragraph">
              <wp:posOffset>-130810</wp:posOffset>
            </wp:positionV>
            <wp:extent cx="3392424" cy="396849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0"/>
          <w:szCs w:val="20"/>
        </w:rPr>
        <w:t>(47%) and Online harassment (44%) were</w:t>
      </w:r>
      <w:r w:rsidR="00AE3901">
        <w:rPr>
          <w:rFonts w:ascii="Segoe UI" w:hAnsi="Segoe UI" w:cs="Segoe UI"/>
          <w:sz w:val="20"/>
          <w:szCs w:val="20"/>
        </w:rPr>
        <w:t xml:space="preserve"> the primary driver</w:t>
      </w:r>
      <w:r>
        <w:rPr>
          <w:rFonts w:ascii="Segoe UI" w:hAnsi="Segoe UI" w:cs="Segoe UI"/>
          <w:sz w:val="20"/>
          <w:szCs w:val="20"/>
        </w:rPr>
        <w:t>s</w:t>
      </w:r>
      <w:r w:rsidR="00AE3901">
        <w:rPr>
          <w:rFonts w:ascii="Segoe UI" w:hAnsi="Segoe UI" w:cs="Segoe UI"/>
          <w:sz w:val="20"/>
          <w:szCs w:val="20"/>
        </w:rPr>
        <w:t xml:space="preserve"> of </w:t>
      </w:r>
      <w:r w:rsidR="00A05F70">
        <w:rPr>
          <w:rFonts w:ascii="Segoe UI" w:hAnsi="Segoe UI" w:cs="Segoe UI"/>
          <w:sz w:val="20"/>
          <w:szCs w:val="20"/>
        </w:rPr>
        <w:t>Behavioral</w:t>
      </w:r>
      <w:r w:rsidR="003B3C9D">
        <w:rPr>
          <w:rFonts w:ascii="Segoe UI" w:hAnsi="Segoe UI" w:cs="Segoe UI"/>
          <w:sz w:val="20"/>
          <w:szCs w:val="20"/>
        </w:rPr>
        <w:t xml:space="preserve">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. </w:t>
      </w:r>
      <w:r w:rsidR="00A05F70">
        <w:rPr>
          <w:rFonts w:ascii="Segoe UI" w:hAnsi="Segoe UI" w:cs="Segoe UI"/>
          <w:sz w:val="20"/>
          <w:szCs w:val="20"/>
        </w:rPr>
        <w:t xml:space="preserve">This category of </w:t>
      </w:r>
      <w:r w:rsidR="00CF119C">
        <w:rPr>
          <w:rFonts w:ascii="Segoe UI" w:hAnsi="Segoe UI" w:cs="Segoe UI"/>
          <w:sz w:val="20"/>
          <w:szCs w:val="20"/>
        </w:rPr>
        <w:t>risks w</w:t>
      </w:r>
      <w:r w:rsidR="00A05F70">
        <w:rPr>
          <w:rFonts w:ascii="Segoe UI" w:hAnsi="Segoe UI" w:cs="Segoe UI"/>
          <w:sz w:val="20"/>
          <w:szCs w:val="20"/>
        </w:rPr>
        <w:t>as</w:t>
      </w:r>
      <w:r w:rsidR="00CF119C">
        <w:rPr>
          <w:rFonts w:ascii="Segoe UI" w:hAnsi="Segoe UI" w:cs="Segoe UI"/>
          <w:sz w:val="20"/>
          <w:szCs w:val="20"/>
        </w:rPr>
        <w:t xml:space="preserve">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>
        <w:rPr>
          <w:rFonts w:ascii="Segoe UI" w:hAnsi="Segoe UI" w:cs="Segoe UI"/>
          <w:sz w:val="20"/>
          <w:szCs w:val="20"/>
        </w:rPr>
        <w:t>higher</w:t>
      </w:r>
      <w:r w:rsidR="007A1241">
        <w:rPr>
          <w:rFonts w:ascii="Segoe UI" w:hAnsi="Segoe UI" w:cs="Segoe UI"/>
          <w:sz w:val="20"/>
          <w:szCs w:val="20"/>
        </w:rPr>
        <w:t xml:space="preserve">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the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average </w:t>
      </w:r>
      <w:r w:rsidR="00971D1E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+24</w:t>
      </w:r>
      <w:r w:rsidR="00A05F70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8B88751" w14:textId="1A3D7825" w:rsidR="00314C05" w:rsidRPr="003863D0" w:rsidRDefault="00A05F70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3D342AC0" w14:textId="40206411" w:rsidR="003A7A74" w:rsidRPr="00A05F70" w:rsidRDefault="002544A0" w:rsidP="00A05F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Unwanted contact (47%) </w:t>
      </w:r>
      <w:r w:rsidR="00A05F70">
        <w:rPr>
          <w:rFonts w:ascii="Segoe UI" w:hAnsi="Segoe UI" w:cs="Segoe UI"/>
          <w:sz w:val="20"/>
          <w:szCs w:val="20"/>
        </w:rPr>
        <w:t>was tied for the highest incident risk with Treated mean. Hate speech was the fourth highest risk overall and was significantly above the international average (32%, 15%).</w:t>
      </w:r>
      <w:r w:rsidR="00914459">
        <w:rPr>
          <w:rFonts w:ascii="Segoe UI" w:hAnsi="Segoe UI" w:cs="Segoe UI"/>
          <w:sz w:val="20"/>
          <w:szCs w:val="20"/>
        </w:rPr>
        <w:t xml:space="preserve"> </w:t>
      </w:r>
    </w:p>
    <w:p w14:paraId="392F5074" w14:textId="77777777" w:rsidR="00A05F70" w:rsidRPr="00552A1D" w:rsidRDefault="00A05F70" w:rsidP="00A05F7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151032CF" w14:textId="3A803FD7" w:rsidR="00A05F70" w:rsidRDefault="00A05F70" w:rsidP="00C94A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Russians </w:t>
      </w:r>
      <w:r w:rsidRPr="00A05F70">
        <w:rPr>
          <w:rFonts w:ascii="Segoe UI" w:hAnsi="Segoe UI" w:cs="Segoe UI"/>
          <w:sz w:val="20"/>
          <w:szCs w:val="20"/>
        </w:rPr>
        <w:t>Australians had a lower chance of experiencing any Sexual online risk compared to international (</w:t>
      </w:r>
      <w:r>
        <w:rPr>
          <w:rFonts w:ascii="Segoe UI" w:hAnsi="Segoe UI" w:cs="Segoe UI"/>
          <w:sz w:val="20"/>
          <w:szCs w:val="20"/>
        </w:rPr>
        <w:t>24%, 30%</w:t>
      </w:r>
      <w:r w:rsidRPr="00A05F70">
        <w:rPr>
          <w:rFonts w:ascii="Segoe UI" w:hAnsi="Segoe UI" w:cs="Segoe UI"/>
          <w:sz w:val="20"/>
          <w:szCs w:val="20"/>
        </w:rPr>
        <w:t xml:space="preserve">).  </w:t>
      </w:r>
    </w:p>
    <w:p w14:paraId="15610D32" w14:textId="0CD4ABB4" w:rsidR="00A05F70" w:rsidRPr="00A05F70" w:rsidRDefault="00A05F70" w:rsidP="00C94A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A05F70">
        <w:rPr>
          <w:rFonts w:ascii="Segoe UI" w:hAnsi="Segoe UI" w:cs="Segoe UI"/>
          <w:sz w:val="20"/>
          <w:szCs w:val="20"/>
        </w:rPr>
        <w:t>Unwanted sexting (received</w:t>
      </w:r>
      <w:r>
        <w:rPr>
          <w:rFonts w:ascii="Segoe UI" w:hAnsi="Segoe UI" w:cs="Segoe UI"/>
          <w:sz w:val="20"/>
          <w:szCs w:val="20"/>
        </w:rPr>
        <w:t xml:space="preserve"> or sent</w:t>
      </w:r>
      <w:r w:rsidRPr="00A05F70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19</w:t>
      </w:r>
      <w:r w:rsidRPr="00A05F70">
        <w:rPr>
          <w:rFonts w:ascii="Segoe UI" w:hAnsi="Segoe UI" w:cs="Segoe UI"/>
          <w:sz w:val="20"/>
          <w:szCs w:val="20"/>
        </w:rPr>
        <w:t xml:space="preserve">%) and </w:t>
      </w:r>
      <w:r w:rsidR="00874FF0">
        <w:rPr>
          <w:rFonts w:ascii="Segoe UI" w:hAnsi="Segoe UI" w:cs="Segoe UI"/>
          <w:sz w:val="20"/>
          <w:szCs w:val="20"/>
        </w:rPr>
        <w:t>S</w:t>
      </w:r>
      <w:r w:rsidRPr="00A05F70">
        <w:rPr>
          <w:rFonts w:ascii="Segoe UI" w:hAnsi="Segoe UI" w:cs="Segoe UI"/>
          <w:sz w:val="20"/>
          <w:szCs w:val="20"/>
        </w:rPr>
        <w:t xml:space="preserve">exual </w:t>
      </w:r>
      <w:r>
        <w:rPr>
          <w:rFonts w:ascii="Segoe UI" w:hAnsi="Segoe UI" w:cs="Segoe UI"/>
          <w:sz w:val="20"/>
          <w:szCs w:val="20"/>
        </w:rPr>
        <w:t>Sextortion</w:t>
      </w:r>
      <w:r w:rsidRPr="00A05F70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4</w:t>
      </w:r>
      <w:r w:rsidRPr="00A05F70">
        <w:rPr>
          <w:rFonts w:ascii="Segoe UI" w:hAnsi="Segoe UI" w:cs="Segoe UI"/>
          <w:sz w:val="20"/>
          <w:szCs w:val="20"/>
        </w:rPr>
        <w:t>%) were the most common sexual risks</w:t>
      </w:r>
      <w:r>
        <w:rPr>
          <w:rFonts w:ascii="Segoe UI" w:hAnsi="Segoe UI" w:cs="Segoe UI"/>
          <w:sz w:val="20"/>
          <w:szCs w:val="20"/>
        </w:rPr>
        <w:t>.</w:t>
      </w:r>
    </w:p>
    <w:p w14:paraId="5300F3D1" w14:textId="6F7C79FF" w:rsidR="00552A1D" w:rsidRPr="00552A1D" w:rsidRDefault="00552A1D" w:rsidP="00A05F7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32843AF4" w14:textId="3702D595" w:rsidR="00B43178" w:rsidRPr="00A05F70" w:rsidRDefault="00552A1D" w:rsidP="00A05F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  <w:sectPr w:rsidR="00B43178" w:rsidRPr="00A05F70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  <w:r w:rsidRPr="00552A1D">
        <w:rPr>
          <w:rFonts w:ascii="Segoe UI" w:hAnsi="Segoe UI" w:cs="Segoe UI"/>
          <w:sz w:val="20"/>
          <w:szCs w:val="20"/>
        </w:rPr>
        <w:t xml:space="preserve">People </w:t>
      </w:r>
      <w:r w:rsidR="00A05F70">
        <w:rPr>
          <w:rFonts w:ascii="Segoe UI" w:hAnsi="Segoe UI" w:cs="Segoe UI"/>
          <w:sz w:val="20"/>
          <w:szCs w:val="20"/>
        </w:rPr>
        <w:t xml:space="preserve">in Russia </w:t>
      </w:r>
      <w:r w:rsidRPr="00552A1D">
        <w:rPr>
          <w:rFonts w:ascii="Segoe UI" w:hAnsi="Segoe UI" w:cs="Segoe UI"/>
          <w:sz w:val="20"/>
          <w:szCs w:val="20"/>
        </w:rPr>
        <w:t xml:space="preserve">encountered Reputational risks at a </w:t>
      </w:r>
      <w:r w:rsidR="008A095F">
        <w:rPr>
          <w:rFonts w:ascii="Segoe UI" w:hAnsi="Segoe UI" w:cs="Segoe UI"/>
          <w:sz w:val="20"/>
          <w:szCs w:val="20"/>
        </w:rPr>
        <w:t xml:space="preserve">significantly </w:t>
      </w:r>
      <w:r w:rsidR="00A05F70">
        <w:rPr>
          <w:rFonts w:ascii="Segoe UI" w:hAnsi="Segoe UI" w:cs="Segoe UI"/>
          <w:sz w:val="20"/>
          <w:szCs w:val="20"/>
        </w:rPr>
        <w:t xml:space="preserve">higher </w:t>
      </w:r>
      <w:r w:rsidRPr="00552A1D">
        <w:rPr>
          <w:rFonts w:ascii="Segoe UI" w:hAnsi="Segoe UI" w:cs="Segoe UI"/>
          <w:sz w:val="20"/>
          <w:szCs w:val="20"/>
        </w:rPr>
        <w:t xml:space="preserve">rate vs. international (11% vs. 19%) led by </w:t>
      </w:r>
      <w:r w:rsidR="00A05F70">
        <w:rPr>
          <w:rFonts w:ascii="Segoe UI" w:hAnsi="Segoe UI" w:cs="Segoe UI"/>
          <w:sz w:val="20"/>
          <w:szCs w:val="20"/>
        </w:rPr>
        <w:t>Doxing (17%).</w:t>
      </w:r>
    </w:p>
    <w:p w14:paraId="15D67165" w14:textId="2A827697" w:rsidR="00821F5C" w:rsidRPr="00D36725" w:rsidRDefault="00E4698F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0A729D4A" wp14:editId="4B931E71">
            <wp:simplePos x="0" y="0"/>
            <wp:positionH relativeFrom="column">
              <wp:posOffset>3627120</wp:posOffset>
            </wp:positionH>
            <wp:positionV relativeFrom="paragraph">
              <wp:posOffset>480060</wp:posOffset>
            </wp:positionV>
            <wp:extent cx="3392170" cy="336486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508715CE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3A145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BEEEDB7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D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37ADD493" w:rsidR="006C36D4" w:rsidRDefault="00E57980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AA6731">
        <w:rPr>
          <w:rFonts w:ascii="Segoe UI" w:hAnsi="Segoe UI" w:cs="Segoe UI"/>
          <w:sz w:val="20"/>
          <w:szCs w:val="20"/>
        </w:rPr>
        <w:t xml:space="preserve">wo-thirds of </w:t>
      </w:r>
      <w:r>
        <w:rPr>
          <w:rFonts w:ascii="Segoe UI" w:hAnsi="Segoe UI" w:cs="Segoe UI"/>
          <w:sz w:val="20"/>
          <w:szCs w:val="20"/>
        </w:rPr>
        <w:t>Russians</w:t>
      </w:r>
      <w:r w:rsidR="00B77576">
        <w:rPr>
          <w:rFonts w:ascii="Segoe UI" w:hAnsi="Segoe UI" w:cs="Segoe UI"/>
          <w:sz w:val="20"/>
          <w:szCs w:val="20"/>
        </w:rPr>
        <w:t xml:space="preserve">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>exposure to an online risk</w:t>
      </w:r>
      <w:r w:rsidR="00D5170F">
        <w:rPr>
          <w:rFonts w:ascii="Segoe UI" w:hAnsi="Segoe UI" w:cs="Segoe UI"/>
          <w:sz w:val="20"/>
          <w:szCs w:val="20"/>
        </w:rPr>
        <w:t xml:space="preserve"> matching </w:t>
      </w:r>
      <w:r w:rsidR="00AA6731">
        <w:rPr>
          <w:rFonts w:ascii="Segoe UI" w:hAnsi="Segoe UI" w:cs="Segoe UI"/>
          <w:sz w:val="20"/>
          <w:szCs w:val="20"/>
        </w:rPr>
        <w:t>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7B5D3B4A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E57980">
        <w:rPr>
          <w:rFonts w:ascii="Segoe UI" w:hAnsi="Segoe UI" w:cs="Segoe UI"/>
          <w:sz w:val="20"/>
          <w:szCs w:val="20"/>
        </w:rPr>
        <w:t>43</w:t>
      </w:r>
      <w:r w:rsidR="009F1C11">
        <w:rPr>
          <w:rFonts w:ascii="Segoe UI" w:hAnsi="Segoe UI" w:cs="Segoe UI"/>
          <w:sz w:val="20"/>
          <w:szCs w:val="20"/>
        </w:rPr>
        <w:t xml:space="preserve">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(2</w:t>
      </w:r>
      <w:r w:rsidR="00E57980">
        <w:rPr>
          <w:rFonts w:ascii="Segoe UI" w:hAnsi="Segoe UI" w:cs="Segoe UI"/>
          <w:sz w:val="20"/>
          <w:szCs w:val="20"/>
        </w:rPr>
        <w:t>8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</w:t>
      </w:r>
      <w:r w:rsidR="00D5170F">
        <w:rPr>
          <w:rFonts w:ascii="Segoe UI" w:hAnsi="Segoe UI" w:cs="Segoe UI"/>
          <w:sz w:val="20"/>
          <w:szCs w:val="20"/>
        </w:rPr>
        <w:t>Thus</w:t>
      </w:r>
      <w:r>
        <w:rPr>
          <w:rFonts w:ascii="Segoe UI" w:hAnsi="Segoe UI" w:cs="Segoe UI"/>
          <w:sz w:val="20"/>
          <w:szCs w:val="20"/>
        </w:rPr>
        <w:t xml:space="preserve">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63A42BB4" w:rsidR="00831BE6" w:rsidRDefault="00E57980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29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 w:rsidR="004B68FF">
        <w:rPr>
          <w:rFonts w:ascii="Segoe UI" w:hAnsi="Segoe UI" w:cs="Segoe UI"/>
          <w:sz w:val="20"/>
          <w:szCs w:val="20"/>
        </w:rPr>
        <w:t>close to international average (26</w:t>
      </w:r>
      <w:r w:rsidR="00AA6731">
        <w:rPr>
          <w:rFonts w:ascii="Segoe UI" w:hAnsi="Segoe UI" w:cs="Segoe UI"/>
          <w:sz w:val="20"/>
          <w:szCs w:val="20"/>
        </w:rPr>
        <w:t>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30A1DFE" w14:textId="32D66A97" w:rsidR="00AB433A" w:rsidRDefault="004B68FF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Russians were much less likely to report losing a friend (12%, 19%) or losing sleep (9%, 24%) as the result of an online risk.</w:t>
      </w:r>
      <w:r w:rsidR="00AB4BEE">
        <w:rPr>
          <w:rFonts w:ascii="Segoe UI" w:hAnsi="Segoe UI" w:cs="Segoe UI"/>
          <w:sz w:val="20"/>
          <w:szCs w:val="20"/>
        </w:rPr>
        <w:t xml:space="preserve"> </w:t>
      </w: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546BA1E3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7302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9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GVi+XDiAAAACgEAAA8A&#10;AAAAAAAAAAAAAAAAWQQAAGRycy9kb3ducmV2LnhtbFBLBQYAAAAABAAEAPMAAABoBQAAAAA=&#10;" strokecolor="gray [1629]" strokeweight=".5pt"/>
            </w:pict>
          </mc:Fallback>
        </mc:AlternateContent>
      </w:r>
    </w:p>
    <w:p w14:paraId="0A5E3F2D" w14:textId="480B84B6" w:rsidR="004278A7" w:rsidRDefault="00EE045D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0608ADEB" w:rsidR="00371E9C" w:rsidRPr="00AB4812" w:rsidRDefault="00047927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40% of Russians expressed concern about online risks overall compared to 50% internationally. Concern was consistently lower across a</w:t>
      </w:r>
      <w:r w:rsidR="00E76F53">
        <w:rPr>
          <w:rFonts w:ascii="Segoe UI" w:hAnsi="Segoe UI" w:cs="Segoe UI"/>
          <w:sz w:val="20"/>
          <w:szCs w:val="20"/>
        </w:rPr>
        <w:t xml:space="preserve">ll four </w:t>
      </w:r>
      <w:r>
        <w:rPr>
          <w:rFonts w:ascii="Segoe UI" w:hAnsi="Segoe UI" w:cs="Segoe UI"/>
          <w:sz w:val="20"/>
          <w:szCs w:val="20"/>
        </w:rPr>
        <w:t xml:space="preserve">risk </w:t>
      </w:r>
      <w:r w:rsidR="00E76F53">
        <w:rPr>
          <w:rFonts w:ascii="Segoe UI" w:hAnsi="Segoe UI" w:cs="Segoe UI"/>
          <w:sz w:val="20"/>
          <w:szCs w:val="20"/>
        </w:rPr>
        <w:t>categories</w:t>
      </w:r>
      <w:r>
        <w:rPr>
          <w:rFonts w:ascii="Segoe UI" w:hAnsi="Segoe UI" w:cs="Segoe UI"/>
          <w:sz w:val="20"/>
          <w:szCs w:val="20"/>
        </w:rPr>
        <w:t>.</w:t>
      </w:r>
    </w:p>
    <w:p w14:paraId="531A5C0E" w14:textId="7CEF09B0" w:rsidR="00AB4812" w:rsidRDefault="00921A9C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21A9C">
        <w:rPr>
          <w:noProof/>
        </w:rPr>
        <w:drawing>
          <wp:anchor distT="0" distB="0" distL="114300" distR="114300" simplePos="0" relativeHeight="251761664" behindDoc="0" locked="0" layoutInCell="1" allowOverlap="1" wp14:anchorId="5741B882" wp14:editId="76F49453">
            <wp:simplePos x="0" y="0"/>
            <wp:positionH relativeFrom="column">
              <wp:posOffset>3627177</wp:posOffset>
            </wp:positionH>
            <wp:positionV relativeFrom="paragraph">
              <wp:posOffset>-503555</wp:posOffset>
            </wp:positionV>
            <wp:extent cx="3392424" cy="4151376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927">
        <w:rPr>
          <w:rFonts w:ascii="Segoe UI" w:hAnsi="Segoe UI" w:cs="Segoe UI"/>
          <w:sz w:val="20"/>
          <w:szCs w:val="20"/>
        </w:rPr>
        <w:t>Reputational</w:t>
      </w:r>
      <w:r w:rsidR="00CB5735">
        <w:rPr>
          <w:rFonts w:ascii="Segoe UI" w:hAnsi="Segoe UI" w:cs="Segoe UI"/>
          <w:sz w:val="20"/>
          <w:szCs w:val="20"/>
        </w:rPr>
        <w:t xml:space="preserve"> </w:t>
      </w:r>
      <w:r w:rsidR="00A61C40">
        <w:rPr>
          <w:rFonts w:ascii="Segoe UI" w:hAnsi="Segoe UI" w:cs="Segoe UI"/>
          <w:sz w:val="20"/>
          <w:szCs w:val="20"/>
        </w:rPr>
        <w:t>risks</w:t>
      </w:r>
      <w:r w:rsidR="00047927">
        <w:rPr>
          <w:rFonts w:ascii="Segoe UI" w:hAnsi="Segoe UI" w:cs="Segoe UI"/>
          <w:sz w:val="20"/>
          <w:szCs w:val="20"/>
        </w:rPr>
        <w:t xml:space="preserve"> (49%) </w:t>
      </w:r>
      <w:r w:rsidR="00A61C40">
        <w:rPr>
          <w:rFonts w:ascii="Segoe UI" w:hAnsi="Segoe UI" w:cs="Segoe UI"/>
          <w:sz w:val="20"/>
          <w:szCs w:val="20"/>
        </w:rPr>
        <w:t xml:space="preserve">were </w:t>
      </w:r>
      <w:r w:rsidR="00047927">
        <w:rPr>
          <w:rFonts w:ascii="Segoe UI" w:hAnsi="Segoe UI" w:cs="Segoe UI"/>
          <w:sz w:val="20"/>
          <w:szCs w:val="20"/>
        </w:rPr>
        <w:t>t</w:t>
      </w:r>
      <w:r w:rsidR="00A61C40">
        <w:rPr>
          <w:rFonts w:ascii="Segoe UI" w:hAnsi="Segoe UI" w:cs="Segoe UI"/>
          <w:sz w:val="20"/>
          <w:szCs w:val="20"/>
        </w:rPr>
        <w:t xml:space="preserve">he most </w:t>
      </w:r>
      <w:r w:rsidR="00AA536A">
        <w:rPr>
          <w:rFonts w:ascii="Segoe UI" w:hAnsi="Segoe UI" w:cs="Segoe UI"/>
          <w:sz w:val="20"/>
          <w:szCs w:val="20"/>
        </w:rPr>
        <w:t xml:space="preserve">worrisome </w:t>
      </w:r>
      <w:r w:rsidR="00A61C40">
        <w:rPr>
          <w:rFonts w:ascii="Segoe UI" w:hAnsi="Segoe UI" w:cs="Segoe UI"/>
          <w:sz w:val="20"/>
          <w:szCs w:val="20"/>
        </w:rPr>
        <w:t xml:space="preserve">in </w:t>
      </w:r>
      <w:r w:rsidR="00047927">
        <w:rPr>
          <w:rFonts w:ascii="Segoe UI" w:hAnsi="Segoe UI" w:cs="Segoe UI"/>
          <w:sz w:val="20"/>
          <w:szCs w:val="20"/>
        </w:rPr>
        <w:t xml:space="preserve">Russia </w:t>
      </w:r>
      <w:r w:rsidR="007F0520">
        <w:rPr>
          <w:rFonts w:ascii="Segoe UI" w:hAnsi="Segoe UI" w:cs="Segoe UI"/>
          <w:sz w:val="20"/>
          <w:szCs w:val="20"/>
        </w:rPr>
        <w:t xml:space="preserve">virtually tied with </w:t>
      </w:r>
      <w:r w:rsidR="00047927">
        <w:rPr>
          <w:rFonts w:ascii="Segoe UI" w:hAnsi="Segoe UI" w:cs="Segoe UI"/>
          <w:sz w:val="20"/>
          <w:szCs w:val="20"/>
        </w:rPr>
        <w:t>Intrusive (48%) and Behavioral risks (47%).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559EAA5C" w14:textId="2E17D24F" w:rsidR="00CB5735" w:rsidRPr="00AB4812" w:rsidRDefault="00AB4BEE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</w:t>
      </w:r>
      <w:r w:rsidR="001352F8">
        <w:rPr>
          <w:rFonts w:ascii="Segoe UI" w:hAnsi="Segoe UI" w:cs="Segoe UI"/>
          <w:sz w:val="20"/>
          <w:szCs w:val="20"/>
        </w:rPr>
        <w:t>42</w:t>
      </w:r>
      <w:r>
        <w:rPr>
          <w:rFonts w:ascii="Segoe UI" w:hAnsi="Segoe UI" w:cs="Segoe UI"/>
          <w:sz w:val="20"/>
          <w:szCs w:val="20"/>
        </w:rPr>
        <w:t>%) was the most frequent</w:t>
      </w:r>
      <w:r w:rsidR="0095185B">
        <w:rPr>
          <w:rFonts w:ascii="Segoe UI" w:hAnsi="Segoe UI" w:cs="Segoe UI"/>
          <w:sz w:val="20"/>
          <w:szCs w:val="20"/>
        </w:rPr>
        <w:t>ly reported</w:t>
      </w:r>
      <w:r>
        <w:rPr>
          <w:rFonts w:ascii="Segoe UI" w:hAnsi="Segoe UI" w:cs="Segoe UI"/>
          <w:sz w:val="20"/>
          <w:szCs w:val="20"/>
        </w:rPr>
        <w:t xml:space="preserve"> </w:t>
      </w:r>
      <w:r w:rsidR="00DD3898">
        <w:rPr>
          <w:rFonts w:ascii="Segoe UI" w:hAnsi="Segoe UI" w:cs="Segoe UI"/>
          <w:sz w:val="20"/>
          <w:szCs w:val="20"/>
        </w:rPr>
        <w:t>concern</w:t>
      </w:r>
      <w:r>
        <w:rPr>
          <w:rFonts w:ascii="Segoe UI" w:hAnsi="Segoe UI" w:cs="Segoe UI"/>
          <w:sz w:val="20"/>
          <w:szCs w:val="20"/>
        </w:rPr>
        <w:t xml:space="preserve"> in </w:t>
      </w:r>
      <w:r w:rsidR="001352F8">
        <w:rPr>
          <w:rFonts w:ascii="Segoe UI" w:hAnsi="Segoe UI" w:cs="Segoe UI"/>
          <w:sz w:val="20"/>
          <w:szCs w:val="20"/>
        </w:rPr>
        <w:t>Russia followed by Terrorism recruiting (37%), Online harassment (31%) and Sextortion (31%).</w:t>
      </w:r>
    </w:p>
    <w:p w14:paraId="740352AD" w14:textId="4C97568E" w:rsidR="00AB4812" w:rsidRDefault="001352F8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Russians reported lower incidence rates for all risks</w:t>
      </w:r>
      <w:r w:rsidR="00FC7233">
        <w:rPr>
          <w:rFonts w:ascii="Segoe UI" w:hAnsi="Segoe UI" w:cs="Segoe UI"/>
          <w:sz w:val="20"/>
          <w:szCs w:val="20"/>
        </w:rPr>
        <w:t xml:space="preserve"> compared to international. </w:t>
      </w:r>
      <w:r w:rsidR="00815288">
        <w:rPr>
          <w:rFonts w:ascii="Segoe UI" w:hAnsi="Segoe UI" w:cs="Segoe UI"/>
          <w:sz w:val="20"/>
          <w:szCs w:val="20"/>
        </w:rPr>
        <w:t>Risks having t</w:t>
      </w:r>
      <w:r w:rsidR="00815288" w:rsidRPr="00331CB6">
        <w:rPr>
          <w:rFonts w:ascii="Segoe UI" w:hAnsi="Segoe UI" w:cs="Segoe UI"/>
          <w:sz w:val="20"/>
          <w:szCs w:val="20"/>
        </w:rPr>
        <w:t xml:space="preserve">he largest gaps with international incidence rates </w:t>
      </w:r>
      <w:r w:rsidR="00FC7233">
        <w:rPr>
          <w:rFonts w:ascii="Segoe UI" w:hAnsi="Segoe UI" w:cs="Segoe UI"/>
          <w:sz w:val="20"/>
          <w:szCs w:val="20"/>
        </w:rPr>
        <w:t xml:space="preserve">were </w:t>
      </w:r>
      <w:r>
        <w:rPr>
          <w:rFonts w:ascii="Segoe UI" w:hAnsi="Segoe UI" w:cs="Segoe UI"/>
          <w:sz w:val="20"/>
          <w:szCs w:val="20"/>
        </w:rPr>
        <w:t>Discrimination (-13%), Cyberbullying (-13%) and Hate speech (-11).</w:t>
      </w:r>
    </w:p>
    <w:p w14:paraId="437F204D" w14:textId="6EACB31E" w:rsidR="001352F8" w:rsidRDefault="001352F8" w:rsidP="001352F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26070BE" w14:textId="77777777" w:rsidR="001352F8" w:rsidRPr="001352F8" w:rsidRDefault="001352F8" w:rsidP="001352F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6D14D9AB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3F1815D5" w:rsidR="00C66A0E" w:rsidRDefault="00D24999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Nearly four in ten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22A91248" w:rsidR="00BF5800" w:rsidRPr="00C12BD1" w:rsidRDefault="007F0520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39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>Russians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488F5E27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7F0520">
        <w:rPr>
          <w:rFonts w:ascii="Segoe UI" w:hAnsi="Segoe UI" w:cs="Segoe UI"/>
          <w:sz w:val="20"/>
          <w:szCs w:val="20"/>
        </w:rPr>
        <w:t>3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</w:t>
      </w:r>
      <w:r w:rsidR="007F0520">
        <w:rPr>
          <w:rFonts w:ascii="Segoe UI" w:hAnsi="Segoe UI" w:cs="Segoe UI"/>
          <w:sz w:val="20"/>
          <w:szCs w:val="20"/>
        </w:rPr>
        <w:t>mirrored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52A5BC99" w:rsidR="00F17F51" w:rsidRPr="00BB7986" w:rsidRDefault="00113912" w:rsidP="00C622C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54496" behindDoc="0" locked="0" layoutInCell="1" allowOverlap="1" wp14:anchorId="3931AAC6" wp14:editId="1B56E078">
            <wp:simplePos x="0" y="0"/>
            <wp:positionH relativeFrom="page">
              <wp:align>center</wp:align>
            </wp:positionH>
            <wp:positionV relativeFrom="paragraph">
              <wp:posOffset>294640</wp:posOffset>
            </wp:positionV>
            <wp:extent cx="6583680" cy="1609344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839">
        <w:rPr>
          <w:rFonts w:ascii="Segoe UI" w:hAnsi="Segoe UI" w:cs="Segoe UI"/>
          <w:sz w:val="20"/>
          <w:szCs w:val="20"/>
        </w:rPr>
        <w:t>14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  <w:r w:rsidR="005B7CF2" w:rsidRPr="005B7CF2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39D96B2E" w14:textId="18A37AAB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77777777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DF344D" w14:textId="73CEB174" w:rsidR="001F2B52" w:rsidRDefault="00F74E84" w:rsidP="0099101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6E1531">
        <w:rPr>
          <w:rFonts w:ascii="Segoe UI" w:hAnsi="Segoe UI" w:cs="Segoe UI"/>
          <w:sz w:val="20"/>
          <w:szCs w:val="20"/>
        </w:rPr>
        <w:t xml:space="preserve"> (1</w:t>
      </w:r>
      <w:r w:rsidR="00546A5A">
        <w:rPr>
          <w:rFonts w:ascii="Segoe UI" w:hAnsi="Segoe UI" w:cs="Segoe UI"/>
          <w:sz w:val="20"/>
          <w:szCs w:val="20"/>
        </w:rPr>
        <w:t>70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6E1531">
        <w:rPr>
          <w:rFonts w:ascii="Segoe UI" w:hAnsi="Segoe UI" w:cs="Segoe UI"/>
          <w:sz w:val="20"/>
          <w:szCs w:val="20"/>
        </w:rPr>
        <w:t>1</w:t>
      </w:r>
      <w:r w:rsidR="00546A5A">
        <w:rPr>
          <w:rFonts w:ascii="Segoe UI" w:hAnsi="Segoe UI" w:cs="Segoe UI"/>
          <w:sz w:val="20"/>
          <w:szCs w:val="20"/>
        </w:rPr>
        <w:t>21</w:t>
      </w:r>
      <w:r w:rsidR="00B40FC1">
        <w:rPr>
          <w:rFonts w:ascii="Segoe UI" w:hAnsi="Segoe UI" w:cs="Segoe UI"/>
          <w:sz w:val="20"/>
          <w:szCs w:val="20"/>
        </w:rPr>
        <w:t>)</w:t>
      </w:r>
      <w:r w:rsidR="006E1531">
        <w:rPr>
          <w:rFonts w:ascii="Segoe UI" w:hAnsi="Segoe UI" w:cs="Segoe UI"/>
          <w:sz w:val="20"/>
          <w:szCs w:val="20"/>
        </w:rPr>
        <w:t>.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 </w:t>
      </w:r>
      <w:r w:rsidR="006E1531">
        <w:rPr>
          <w:rFonts w:ascii="Segoe UI" w:hAnsi="Segoe UI" w:cs="Segoe UI"/>
          <w:sz w:val="20"/>
          <w:szCs w:val="20"/>
        </w:rPr>
        <w:t xml:space="preserve">Higher </w:t>
      </w:r>
      <w:r w:rsidR="00B84F04">
        <w:rPr>
          <w:rFonts w:ascii="Segoe UI" w:hAnsi="Segoe UI" w:cs="Segoe UI"/>
          <w:sz w:val="20"/>
          <w:szCs w:val="20"/>
        </w:rPr>
        <w:t>interaction levels</w:t>
      </w:r>
      <w:r w:rsidR="006E1531">
        <w:rPr>
          <w:rFonts w:ascii="Segoe UI" w:hAnsi="Segoe UI" w:cs="Segoe UI"/>
          <w:sz w:val="20"/>
          <w:szCs w:val="20"/>
        </w:rPr>
        <w:t xml:space="preserve"> by youth did not translate into higher </w:t>
      </w:r>
      <w:r w:rsidR="00B84F04">
        <w:rPr>
          <w:rFonts w:ascii="Segoe UI" w:hAnsi="Segoe UI" w:cs="Segoe UI"/>
          <w:sz w:val="20"/>
          <w:szCs w:val="20"/>
        </w:rPr>
        <w:t>rates of online risk</w:t>
      </w:r>
      <w:r w:rsidR="006E1531">
        <w:rPr>
          <w:rFonts w:ascii="Segoe UI" w:hAnsi="Segoe UI" w:cs="Segoe UI"/>
          <w:sz w:val="20"/>
          <w:szCs w:val="20"/>
        </w:rPr>
        <w:t xml:space="preserve"> than adults (</w:t>
      </w:r>
      <w:r w:rsidR="00B84F04">
        <w:rPr>
          <w:rFonts w:ascii="Segoe UI" w:hAnsi="Segoe UI" w:cs="Segoe UI"/>
          <w:sz w:val="20"/>
          <w:szCs w:val="20"/>
        </w:rPr>
        <w:t xml:space="preserve">73%, </w:t>
      </w:r>
      <w:r w:rsidR="006E1531">
        <w:rPr>
          <w:rFonts w:ascii="Segoe UI" w:hAnsi="Segoe UI" w:cs="Segoe UI"/>
          <w:sz w:val="20"/>
          <w:szCs w:val="20"/>
        </w:rPr>
        <w:t>75</w:t>
      </w:r>
      <w:r w:rsidR="0099101F">
        <w:rPr>
          <w:rFonts w:ascii="Segoe UI" w:hAnsi="Segoe UI" w:cs="Segoe UI"/>
          <w:sz w:val="20"/>
          <w:szCs w:val="20"/>
        </w:rPr>
        <w:t xml:space="preserve">%). </w:t>
      </w:r>
      <w:r w:rsidR="001F2B52">
        <w:rPr>
          <w:rFonts w:ascii="Segoe UI" w:hAnsi="Segoe UI" w:cs="Segoe UI"/>
          <w:sz w:val="20"/>
          <w:szCs w:val="20"/>
        </w:rPr>
        <w:t>Sexual risks were higher for adults (28%, 19%) while youth experienced higher rates of Behavioral risks (65, 57%).</w:t>
      </w:r>
    </w:p>
    <w:p w14:paraId="7B4C21F5" w14:textId="4C2DD39C" w:rsidR="00F17F51" w:rsidRDefault="00716C2B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Youth were less confident than adults in managing uncivil behavior,</w:t>
      </w:r>
      <w:r w:rsidR="004F739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</w:t>
      </w:r>
      <w:r w:rsidR="00A70452">
        <w:rPr>
          <w:rFonts w:ascii="Segoe UI" w:hAnsi="Segoe UI" w:cs="Segoe UI"/>
          <w:sz w:val="20"/>
          <w:szCs w:val="20"/>
        </w:rPr>
        <w:t>27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A70452">
        <w:rPr>
          <w:rFonts w:ascii="Segoe UI" w:hAnsi="Segoe UI" w:cs="Segoe UI"/>
          <w:sz w:val="20"/>
          <w:szCs w:val="20"/>
        </w:rPr>
        <w:t>23</w:t>
      </w:r>
      <w:r>
        <w:rPr>
          <w:rFonts w:ascii="Segoe UI" w:hAnsi="Segoe UI" w:cs="Segoe UI"/>
          <w:sz w:val="20"/>
          <w:szCs w:val="20"/>
        </w:rPr>
        <w:t>%)</w:t>
      </w:r>
      <w:r w:rsidR="004F739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but were </w:t>
      </w:r>
      <w:r w:rsidR="007804D8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 xml:space="preserve">ore </w:t>
      </w:r>
      <w:r w:rsidR="00A70452">
        <w:rPr>
          <w:rFonts w:ascii="Segoe UI" w:hAnsi="Segoe UI" w:cs="Segoe UI"/>
          <w:sz w:val="20"/>
          <w:szCs w:val="20"/>
        </w:rPr>
        <w:t xml:space="preserve">knowledgeable about </w:t>
      </w:r>
      <w:r>
        <w:rPr>
          <w:rFonts w:ascii="Segoe UI" w:hAnsi="Segoe UI" w:cs="Segoe UI"/>
          <w:sz w:val="20"/>
          <w:szCs w:val="20"/>
        </w:rPr>
        <w:t xml:space="preserve">where to </w:t>
      </w:r>
      <w:r w:rsidR="00A70452">
        <w:rPr>
          <w:rFonts w:ascii="Segoe UI" w:hAnsi="Segoe UI" w:cs="Segoe UI"/>
          <w:sz w:val="20"/>
          <w:szCs w:val="20"/>
        </w:rPr>
        <w:t>find</w:t>
      </w:r>
      <w:r>
        <w:rPr>
          <w:rFonts w:ascii="Segoe UI" w:hAnsi="Segoe UI" w:cs="Segoe UI"/>
          <w:sz w:val="20"/>
          <w:szCs w:val="20"/>
        </w:rPr>
        <w:t xml:space="preserve"> help (</w:t>
      </w:r>
      <w:r w:rsidR="007804D8">
        <w:rPr>
          <w:rFonts w:ascii="Segoe UI" w:hAnsi="Segoe UI" w:cs="Segoe UI"/>
          <w:sz w:val="20"/>
          <w:szCs w:val="20"/>
        </w:rPr>
        <w:t>37</w:t>
      </w:r>
      <w:r>
        <w:rPr>
          <w:rFonts w:ascii="Segoe UI" w:hAnsi="Segoe UI" w:cs="Segoe UI"/>
          <w:sz w:val="20"/>
          <w:szCs w:val="20"/>
        </w:rPr>
        <w:t>%</w:t>
      </w:r>
      <w:r w:rsidR="00A70452">
        <w:rPr>
          <w:rFonts w:ascii="Segoe UI" w:hAnsi="Segoe UI" w:cs="Segoe UI"/>
          <w:sz w:val="20"/>
          <w:szCs w:val="20"/>
        </w:rPr>
        <w:t>, 23</w:t>
      </w:r>
      <w:r w:rsidR="001F2B52">
        <w:rPr>
          <w:rFonts w:ascii="Segoe UI" w:hAnsi="Segoe UI" w:cs="Segoe UI"/>
          <w:sz w:val="20"/>
          <w:szCs w:val="20"/>
        </w:rPr>
        <w:t>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4F7390">
        <w:rPr>
          <w:rFonts w:ascii="Segoe UI" w:hAnsi="Segoe UI" w:cs="Segoe UI"/>
          <w:sz w:val="20"/>
          <w:szCs w:val="20"/>
        </w:rPr>
        <w:t>slightly</w:t>
      </w:r>
      <w:r w:rsidR="00823F17">
        <w:rPr>
          <w:rFonts w:ascii="Segoe UI" w:hAnsi="Segoe UI" w:cs="Segoe UI"/>
          <w:sz w:val="20"/>
          <w:szCs w:val="20"/>
        </w:rPr>
        <w:t xml:space="preserve"> higher exposure to risks than females (</w:t>
      </w:r>
      <w:r w:rsidR="004F7390">
        <w:rPr>
          <w:rFonts w:ascii="Segoe UI" w:hAnsi="Segoe UI" w:cs="Segoe UI"/>
          <w:sz w:val="20"/>
          <w:szCs w:val="20"/>
        </w:rPr>
        <w:t>77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 w:rsidR="004F7390">
        <w:rPr>
          <w:rFonts w:ascii="Segoe UI" w:hAnsi="Segoe UI" w:cs="Segoe UI"/>
          <w:sz w:val="20"/>
          <w:szCs w:val="20"/>
        </w:rPr>
        <w:t>72</w:t>
      </w:r>
      <w:r w:rsidR="00823F17">
        <w:rPr>
          <w:rFonts w:ascii="Segoe UI" w:hAnsi="Segoe UI" w:cs="Segoe UI"/>
          <w:sz w:val="20"/>
          <w:szCs w:val="20"/>
        </w:rPr>
        <w:t>%)</w:t>
      </w:r>
      <w:r w:rsidR="004F7390">
        <w:rPr>
          <w:rFonts w:ascii="Segoe UI" w:hAnsi="Segoe UI" w:cs="Segoe UI"/>
          <w:sz w:val="20"/>
          <w:szCs w:val="20"/>
        </w:rPr>
        <w:t xml:space="preserve"> with Behavioral risks (65%, 56%) being significantly higher for males.</w:t>
      </w:r>
    </w:p>
    <w:p w14:paraId="32BFB029" w14:textId="315BBF74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more likely to have </w:t>
      </w:r>
      <w:r w:rsidR="004F7390">
        <w:rPr>
          <w:rFonts w:ascii="Segoe UI" w:hAnsi="Segoe UI" w:cs="Segoe UI"/>
          <w:sz w:val="20"/>
          <w:szCs w:val="20"/>
        </w:rPr>
        <w:t xml:space="preserve">met in person the party responsible for the online risk (58%, 45%). </w:t>
      </w:r>
      <w:r w:rsidR="001F2B52">
        <w:rPr>
          <w:rFonts w:ascii="Segoe UI" w:hAnsi="Segoe UI" w:cs="Segoe UI"/>
          <w:sz w:val="20"/>
          <w:szCs w:val="20"/>
        </w:rPr>
        <w:t xml:space="preserve">Males </w:t>
      </w:r>
      <w:r w:rsidR="004F7390">
        <w:rPr>
          <w:rFonts w:ascii="Segoe UI" w:hAnsi="Segoe UI" w:cs="Segoe UI"/>
          <w:sz w:val="20"/>
          <w:szCs w:val="20"/>
        </w:rPr>
        <w:t>were</w:t>
      </w:r>
      <w:r w:rsidR="001F2B52">
        <w:rPr>
          <w:rFonts w:ascii="Segoe UI" w:hAnsi="Segoe UI" w:cs="Segoe UI"/>
          <w:sz w:val="20"/>
          <w:szCs w:val="20"/>
        </w:rPr>
        <w:t xml:space="preserve"> more confident in managing risks (29%, 21%).</w:t>
      </w:r>
    </w:p>
    <w:p w14:paraId="2BC11ED7" w14:textId="32F96E69" w:rsidR="00716C2B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Males </w:t>
      </w:r>
      <w:r w:rsidR="001F2B52">
        <w:rPr>
          <w:rFonts w:ascii="Segoe UI" w:hAnsi="Segoe UI" w:cs="Segoe UI"/>
          <w:sz w:val="20"/>
          <w:szCs w:val="20"/>
        </w:rPr>
        <w:t xml:space="preserve">and females shared a similar outlook for the future of civility and personal safety. Both genders felt civility would improve but were pessimistic about the trend for personal safety.  </w:t>
      </w:r>
    </w:p>
    <w:p w14:paraId="56AEA64F" w14:textId="33CEEE98" w:rsidR="00716C2B" w:rsidRPr="003863D0" w:rsidRDefault="004A3722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A3722">
        <w:rPr>
          <w:noProof/>
        </w:rPr>
        <w:drawing>
          <wp:anchor distT="0" distB="0" distL="114300" distR="114300" simplePos="0" relativeHeight="251760640" behindDoc="0" locked="0" layoutInCell="1" allowOverlap="1" wp14:anchorId="30E2D6E3" wp14:editId="15B843CF">
            <wp:simplePos x="0" y="0"/>
            <wp:positionH relativeFrom="column">
              <wp:posOffset>3657600</wp:posOffset>
            </wp:positionH>
            <wp:positionV relativeFrom="paragraph">
              <wp:posOffset>688975</wp:posOffset>
            </wp:positionV>
            <wp:extent cx="3392424" cy="245973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722">
        <w:rPr>
          <w:noProof/>
        </w:rPr>
        <w:drawing>
          <wp:anchor distT="0" distB="0" distL="114300" distR="114300" simplePos="0" relativeHeight="251759616" behindDoc="0" locked="0" layoutInCell="1" allowOverlap="1" wp14:anchorId="34F30CE2" wp14:editId="7D2E4550">
            <wp:simplePos x="0" y="0"/>
            <wp:positionH relativeFrom="column">
              <wp:posOffset>-129540</wp:posOffset>
            </wp:positionH>
            <wp:positionV relativeFrom="paragraph">
              <wp:posOffset>688975</wp:posOffset>
            </wp:positionV>
            <wp:extent cx="3392424" cy="245973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C3324" w14:textId="77777777" w:rsidR="00A663E0" w:rsidRDefault="00A663E0" w:rsidP="00E36286">
      <w:pPr>
        <w:spacing w:after="0" w:line="240" w:lineRule="auto"/>
      </w:pPr>
      <w:r>
        <w:separator/>
      </w:r>
    </w:p>
  </w:endnote>
  <w:endnote w:type="continuationSeparator" w:id="0">
    <w:p w14:paraId="24F201F0" w14:textId="77777777" w:rsidR="00A663E0" w:rsidRDefault="00A663E0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6E8BF71D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3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7EF2" w14:textId="77777777" w:rsidR="00A663E0" w:rsidRDefault="00A663E0" w:rsidP="00E36286">
      <w:pPr>
        <w:spacing w:after="0" w:line="240" w:lineRule="auto"/>
      </w:pPr>
      <w:r>
        <w:separator/>
      </w:r>
    </w:p>
  </w:footnote>
  <w:footnote w:type="continuationSeparator" w:id="0">
    <w:p w14:paraId="3EBC4CA3" w14:textId="77777777" w:rsidR="00A663E0" w:rsidRDefault="00A663E0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.5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561C"/>
    <w:rsid w:val="00047927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04AC9"/>
    <w:rsid w:val="00113912"/>
    <w:rsid w:val="001142EF"/>
    <w:rsid w:val="001162A8"/>
    <w:rsid w:val="00116AC7"/>
    <w:rsid w:val="001204AA"/>
    <w:rsid w:val="00120A06"/>
    <w:rsid w:val="001352F8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A3839"/>
    <w:rsid w:val="001B7A17"/>
    <w:rsid w:val="001B7DF2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2B52"/>
    <w:rsid w:val="001F4629"/>
    <w:rsid w:val="00200172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52D79"/>
    <w:rsid w:val="002543B0"/>
    <w:rsid w:val="002544A0"/>
    <w:rsid w:val="00270FD6"/>
    <w:rsid w:val="002A288C"/>
    <w:rsid w:val="002A4530"/>
    <w:rsid w:val="002A67B7"/>
    <w:rsid w:val="002B2C41"/>
    <w:rsid w:val="002B2C6D"/>
    <w:rsid w:val="002B63B1"/>
    <w:rsid w:val="002B733D"/>
    <w:rsid w:val="002C1351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3C9D"/>
    <w:rsid w:val="003B4EB5"/>
    <w:rsid w:val="003B5A18"/>
    <w:rsid w:val="003C0AA3"/>
    <w:rsid w:val="003C45C9"/>
    <w:rsid w:val="003C5762"/>
    <w:rsid w:val="003C5B56"/>
    <w:rsid w:val="003C5C32"/>
    <w:rsid w:val="003C71AA"/>
    <w:rsid w:val="003D79AF"/>
    <w:rsid w:val="003E1029"/>
    <w:rsid w:val="003E30EF"/>
    <w:rsid w:val="003E3604"/>
    <w:rsid w:val="003E72A8"/>
    <w:rsid w:val="003F5B64"/>
    <w:rsid w:val="003F5DA1"/>
    <w:rsid w:val="003F739E"/>
    <w:rsid w:val="00401D8C"/>
    <w:rsid w:val="00407CA3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A342D"/>
    <w:rsid w:val="004A3722"/>
    <w:rsid w:val="004A4F7E"/>
    <w:rsid w:val="004B0BBF"/>
    <w:rsid w:val="004B68FF"/>
    <w:rsid w:val="004C084C"/>
    <w:rsid w:val="004C3DA0"/>
    <w:rsid w:val="004C78EF"/>
    <w:rsid w:val="004D1077"/>
    <w:rsid w:val="004D3C06"/>
    <w:rsid w:val="004E0D51"/>
    <w:rsid w:val="004E4982"/>
    <w:rsid w:val="004E5379"/>
    <w:rsid w:val="004F13F8"/>
    <w:rsid w:val="004F470F"/>
    <w:rsid w:val="004F7390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46A5A"/>
    <w:rsid w:val="00552A1D"/>
    <w:rsid w:val="00553AC8"/>
    <w:rsid w:val="00554207"/>
    <w:rsid w:val="005627AD"/>
    <w:rsid w:val="005659CF"/>
    <w:rsid w:val="005715A2"/>
    <w:rsid w:val="005730BA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B7CF2"/>
    <w:rsid w:val="005C01B5"/>
    <w:rsid w:val="005C1C1F"/>
    <w:rsid w:val="005C7EB5"/>
    <w:rsid w:val="005D38E5"/>
    <w:rsid w:val="005D78B5"/>
    <w:rsid w:val="005E2A61"/>
    <w:rsid w:val="005F2142"/>
    <w:rsid w:val="005F2D70"/>
    <w:rsid w:val="005F5479"/>
    <w:rsid w:val="005F5B2A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1531"/>
    <w:rsid w:val="006E5D8D"/>
    <w:rsid w:val="006E6A7B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18F4"/>
    <w:rsid w:val="00742381"/>
    <w:rsid w:val="007444B5"/>
    <w:rsid w:val="007458A7"/>
    <w:rsid w:val="007461F5"/>
    <w:rsid w:val="007569ED"/>
    <w:rsid w:val="007724C4"/>
    <w:rsid w:val="00773CB5"/>
    <w:rsid w:val="00775661"/>
    <w:rsid w:val="007804D8"/>
    <w:rsid w:val="00781EA8"/>
    <w:rsid w:val="00784998"/>
    <w:rsid w:val="00785FEA"/>
    <w:rsid w:val="007902D6"/>
    <w:rsid w:val="00791065"/>
    <w:rsid w:val="00791112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493"/>
    <w:rsid w:val="007C5AB6"/>
    <w:rsid w:val="007D1968"/>
    <w:rsid w:val="007D5E2F"/>
    <w:rsid w:val="007E412F"/>
    <w:rsid w:val="007F0520"/>
    <w:rsid w:val="007F229B"/>
    <w:rsid w:val="007F355A"/>
    <w:rsid w:val="007F3C31"/>
    <w:rsid w:val="007F7E7F"/>
    <w:rsid w:val="00800E1D"/>
    <w:rsid w:val="00805FD3"/>
    <w:rsid w:val="00807D0E"/>
    <w:rsid w:val="00810785"/>
    <w:rsid w:val="00815288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4FF0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095F"/>
    <w:rsid w:val="008A37C8"/>
    <w:rsid w:val="008A3E72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E4414"/>
    <w:rsid w:val="008F1475"/>
    <w:rsid w:val="008F4989"/>
    <w:rsid w:val="008F4E12"/>
    <w:rsid w:val="00901FA8"/>
    <w:rsid w:val="00911A62"/>
    <w:rsid w:val="009128FD"/>
    <w:rsid w:val="00914459"/>
    <w:rsid w:val="00917A34"/>
    <w:rsid w:val="00920155"/>
    <w:rsid w:val="009203CB"/>
    <w:rsid w:val="00921350"/>
    <w:rsid w:val="00921A9C"/>
    <w:rsid w:val="00924176"/>
    <w:rsid w:val="009259A4"/>
    <w:rsid w:val="009300FC"/>
    <w:rsid w:val="0093151C"/>
    <w:rsid w:val="0094038B"/>
    <w:rsid w:val="00941E6C"/>
    <w:rsid w:val="0095185B"/>
    <w:rsid w:val="00951A0D"/>
    <w:rsid w:val="009545D7"/>
    <w:rsid w:val="00955FF1"/>
    <w:rsid w:val="009602E8"/>
    <w:rsid w:val="009715DE"/>
    <w:rsid w:val="00971D1E"/>
    <w:rsid w:val="009777F5"/>
    <w:rsid w:val="009807AE"/>
    <w:rsid w:val="0099101F"/>
    <w:rsid w:val="00992057"/>
    <w:rsid w:val="00997F73"/>
    <w:rsid w:val="009A0800"/>
    <w:rsid w:val="009A24A8"/>
    <w:rsid w:val="009A452F"/>
    <w:rsid w:val="009C3AF6"/>
    <w:rsid w:val="009C7C58"/>
    <w:rsid w:val="009E4D18"/>
    <w:rsid w:val="009E56FC"/>
    <w:rsid w:val="009F1C11"/>
    <w:rsid w:val="009F5123"/>
    <w:rsid w:val="00A003F7"/>
    <w:rsid w:val="00A04953"/>
    <w:rsid w:val="00A05B53"/>
    <w:rsid w:val="00A05F70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427"/>
    <w:rsid w:val="00A527DD"/>
    <w:rsid w:val="00A56D1D"/>
    <w:rsid w:val="00A61468"/>
    <w:rsid w:val="00A61C40"/>
    <w:rsid w:val="00A649EF"/>
    <w:rsid w:val="00A663E0"/>
    <w:rsid w:val="00A70452"/>
    <w:rsid w:val="00A72858"/>
    <w:rsid w:val="00A8175E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23D6"/>
    <w:rsid w:val="00AD473C"/>
    <w:rsid w:val="00AD6E2F"/>
    <w:rsid w:val="00AE3901"/>
    <w:rsid w:val="00AE3AE8"/>
    <w:rsid w:val="00AE3CC6"/>
    <w:rsid w:val="00AE4328"/>
    <w:rsid w:val="00AE63F9"/>
    <w:rsid w:val="00AF4357"/>
    <w:rsid w:val="00AF4CFF"/>
    <w:rsid w:val="00AF6842"/>
    <w:rsid w:val="00AF7CD3"/>
    <w:rsid w:val="00B02E86"/>
    <w:rsid w:val="00B035C4"/>
    <w:rsid w:val="00B03F5C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4A04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F0624"/>
    <w:rsid w:val="00BF5800"/>
    <w:rsid w:val="00C00B43"/>
    <w:rsid w:val="00C0631E"/>
    <w:rsid w:val="00C078BD"/>
    <w:rsid w:val="00C12BD1"/>
    <w:rsid w:val="00C20775"/>
    <w:rsid w:val="00C25D9A"/>
    <w:rsid w:val="00C26CEA"/>
    <w:rsid w:val="00C305D8"/>
    <w:rsid w:val="00C31158"/>
    <w:rsid w:val="00C35EBF"/>
    <w:rsid w:val="00C408CB"/>
    <w:rsid w:val="00C42DD6"/>
    <w:rsid w:val="00C459F7"/>
    <w:rsid w:val="00C535AE"/>
    <w:rsid w:val="00C54023"/>
    <w:rsid w:val="00C554EC"/>
    <w:rsid w:val="00C57F73"/>
    <w:rsid w:val="00C622C1"/>
    <w:rsid w:val="00C6580E"/>
    <w:rsid w:val="00C65AF4"/>
    <w:rsid w:val="00C662C4"/>
    <w:rsid w:val="00C66758"/>
    <w:rsid w:val="00C66A0E"/>
    <w:rsid w:val="00C7615B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4999"/>
    <w:rsid w:val="00D274DF"/>
    <w:rsid w:val="00D3002D"/>
    <w:rsid w:val="00D363F7"/>
    <w:rsid w:val="00D36725"/>
    <w:rsid w:val="00D37935"/>
    <w:rsid w:val="00D4265B"/>
    <w:rsid w:val="00D43591"/>
    <w:rsid w:val="00D5134E"/>
    <w:rsid w:val="00D5170F"/>
    <w:rsid w:val="00D5679E"/>
    <w:rsid w:val="00D62561"/>
    <w:rsid w:val="00D6582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2A95"/>
    <w:rsid w:val="00DA7912"/>
    <w:rsid w:val="00DB0A92"/>
    <w:rsid w:val="00DB0C59"/>
    <w:rsid w:val="00DB21FD"/>
    <w:rsid w:val="00DB232F"/>
    <w:rsid w:val="00DB2BC9"/>
    <w:rsid w:val="00DB3A9E"/>
    <w:rsid w:val="00DB402B"/>
    <w:rsid w:val="00DC1E61"/>
    <w:rsid w:val="00DC3781"/>
    <w:rsid w:val="00DC3B42"/>
    <w:rsid w:val="00DC42E2"/>
    <w:rsid w:val="00DC44AA"/>
    <w:rsid w:val="00DC6BE2"/>
    <w:rsid w:val="00DD3898"/>
    <w:rsid w:val="00DD7757"/>
    <w:rsid w:val="00DE02A8"/>
    <w:rsid w:val="00DE1696"/>
    <w:rsid w:val="00DE1D72"/>
    <w:rsid w:val="00DE4079"/>
    <w:rsid w:val="00DE4580"/>
    <w:rsid w:val="00DE70E0"/>
    <w:rsid w:val="00DF509C"/>
    <w:rsid w:val="00E0435D"/>
    <w:rsid w:val="00E0500A"/>
    <w:rsid w:val="00E058F1"/>
    <w:rsid w:val="00E05C99"/>
    <w:rsid w:val="00E06D0C"/>
    <w:rsid w:val="00E21BF2"/>
    <w:rsid w:val="00E263EE"/>
    <w:rsid w:val="00E267EE"/>
    <w:rsid w:val="00E34B61"/>
    <w:rsid w:val="00E36286"/>
    <w:rsid w:val="00E4698F"/>
    <w:rsid w:val="00E57980"/>
    <w:rsid w:val="00E751FE"/>
    <w:rsid w:val="00E76C94"/>
    <w:rsid w:val="00E76F53"/>
    <w:rsid w:val="00E773BA"/>
    <w:rsid w:val="00E802F0"/>
    <w:rsid w:val="00E83BE1"/>
    <w:rsid w:val="00E87DB7"/>
    <w:rsid w:val="00E95FB5"/>
    <w:rsid w:val="00E95FCB"/>
    <w:rsid w:val="00EA2A64"/>
    <w:rsid w:val="00EB33A1"/>
    <w:rsid w:val="00EB6B2C"/>
    <w:rsid w:val="00EC4030"/>
    <w:rsid w:val="00EC4A9A"/>
    <w:rsid w:val="00EC6F8B"/>
    <w:rsid w:val="00EC709F"/>
    <w:rsid w:val="00EC7164"/>
    <w:rsid w:val="00EC7DA1"/>
    <w:rsid w:val="00ED2D7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6F02"/>
    <w:rsid w:val="00F07BAC"/>
    <w:rsid w:val="00F114E9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704E"/>
    <w:rsid w:val="00F37ACE"/>
    <w:rsid w:val="00F42899"/>
    <w:rsid w:val="00F45018"/>
    <w:rsid w:val="00F458C0"/>
    <w:rsid w:val="00F501FD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D8A"/>
    <w:rsid w:val="00FB0E25"/>
    <w:rsid w:val="00FB3F61"/>
    <w:rsid w:val="00FC118E"/>
    <w:rsid w:val="00FC31A5"/>
    <w:rsid w:val="00FC5B57"/>
    <w:rsid w:val="00FC7233"/>
    <w:rsid w:val="00FD3479"/>
    <w:rsid w:val="00FD3F32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5213-0E21-4D2B-AFD1-1460C5E0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2017-01-03T18:11:00Z</dcterms:created>
  <dcterms:modified xsi:type="dcterms:W3CDTF">2017-01-03T18:11:00Z</dcterms:modified>
</cp:coreProperties>
</file>