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4BD78171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618948BB" w:rsidR="003602B1" w:rsidRDefault="00453ACD" w:rsidP="00453AC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81329" wp14:editId="32C3F4F2">
                                  <wp:extent cx="2484755" cy="53213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618948BB" w:rsidR="003602B1" w:rsidRDefault="00453ACD" w:rsidP="00453AC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B81329" wp14:editId="32C3F4F2">
                            <wp:extent cx="2484755" cy="53213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D43591">
        <w:rPr>
          <w:rFonts w:ascii="Segoe UI" w:hAnsi="Segoe UI" w:cs="Segoe UI"/>
          <w:b/>
          <w:sz w:val="32"/>
          <w:szCs w:val="32"/>
        </w:rPr>
        <w:t>France</w:t>
      </w:r>
    </w:p>
    <w:p w14:paraId="42CEBF0C" w14:textId="131BBB7B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34B72363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70D56FDE" w:rsidR="00DE70E0" w:rsidRDefault="00D43591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2F77D2DE" wp14:editId="439AF7EC">
            <wp:simplePos x="0" y="0"/>
            <wp:positionH relativeFrom="column">
              <wp:posOffset>3718560</wp:posOffset>
            </wp:positionH>
            <wp:positionV relativeFrom="paragraph">
              <wp:posOffset>64135</wp:posOffset>
            </wp:positionV>
            <wp:extent cx="3392424" cy="2075688"/>
            <wp:effectExtent l="0" t="0" r="0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2F7452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55C9E2D5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D1C209A" w14:textId="39EB7C9B" w:rsidR="00D94411" w:rsidRDefault="00D9441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2058E24C" w:rsidR="00B43178" w:rsidRPr="00F31F01" w:rsidRDefault="00D43591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France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>
        <w:rPr>
          <w:rFonts w:ascii="Segoe UI" w:hAnsi="Segoe UI" w:cs="Segoe UI"/>
          <w:b/>
          <w:sz w:val="28"/>
          <w:szCs w:val="28"/>
        </w:rPr>
        <w:t>5</w:t>
      </w:r>
      <w:r w:rsidR="009C3AF6" w:rsidRPr="009C3AF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21CA0B5C" w14:textId="05D6A003" w:rsidR="00F91B89" w:rsidRDefault="00BE1835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60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>
        <w:rPr>
          <w:rFonts w:ascii="Segoe UI" w:hAnsi="Segoe UI" w:cs="Segoe UI"/>
          <w:sz w:val="20"/>
          <w:szCs w:val="20"/>
        </w:rPr>
        <w:t>France</w:t>
      </w:r>
      <w:r w:rsidR="00C973E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was significantly lower </w:t>
      </w:r>
      <w:r w:rsidR="00F3704E">
        <w:rPr>
          <w:rFonts w:ascii="Segoe UI" w:hAnsi="Segoe UI" w:cs="Segoe UI"/>
          <w:sz w:val="20"/>
          <w:szCs w:val="20"/>
        </w:rPr>
        <w:t xml:space="preserve">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 w:rsidR="00F3704E">
        <w:rPr>
          <w:rFonts w:ascii="Segoe UI" w:hAnsi="Segoe UI" w:cs="Segoe UI"/>
          <w:sz w:val="20"/>
          <w:szCs w:val="20"/>
        </w:rPr>
        <w:t xml:space="preserve">averages on </w:t>
      </w:r>
      <w:r>
        <w:rPr>
          <w:rFonts w:ascii="Segoe UI" w:hAnsi="Segoe UI" w:cs="Segoe UI"/>
          <w:sz w:val="20"/>
          <w:szCs w:val="20"/>
        </w:rPr>
        <w:t xml:space="preserve">Behavioral and </w:t>
      </w:r>
      <w:r w:rsidR="00F3704E">
        <w:rPr>
          <w:rFonts w:ascii="Segoe UI" w:hAnsi="Segoe UI" w:cs="Segoe UI"/>
          <w:sz w:val="20"/>
          <w:szCs w:val="20"/>
        </w:rPr>
        <w:t xml:space="preserve">Reputational </w:t>
      </w:r>
      <w:r>
        <w:rPr>
          <w:rFonts w:ascii="Segoe UI" w:hAnsi="Segoe UI" w:cs="Segoe UI"/>
          <w:sz w:val="20"/>
          <w:szCs w:val="20"/>
        </w:rPr>
        <w:t>risks.</w:t>
      </w:r>
    </w:p>
    <w:p w14:paraId="6DCA740E" w14:textId="77777777" w:rsidR="00BE1835" w:rsidRPr="00AC63E9" w:rsidRDefault="00BE1835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12"/>
          <w:szCs w:val="12"/>
        </w:rPr>
      </w:pPr>
    </w:p>
    <w:p w14:paraId="228BC212" w14:textId="76F23166" w:rsidR="00CD6852" w:rsidRPr="003863D0" w:rsidRDefault="00CD6852" w:rsidP="00675AF6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7FFB6279" w:rsidR="00CD6852" w:rsidRPr="003563A9" w:rsidRDefault="00BD15F8" w:rsidP="00B7610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</w:t>
      </w:r>
      <w:r w:rsidR="00BE1835">
        <w:rPr>
          <w:rFonts w:ascii="Segoe UI" w:hAnsi="Segoe UI" w:cs="Segoe UI"/>
          <w:sz w:val="20"/>
          <w:szCs w:val="20"/>
        </w:rPr>
        <w:t>46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 highest incidence of any risk. </w:t>
      </w:r>
      <w:r w:rsidR="00BE1835">
        <w:rPr>
          <w:rFonts w:ascii="Segoe UI" w:hAnsi="Segoe UI" w:cs="Segoe UI"/>
          <w:sz w:val="20"/>
          <w:szCs w:val="20"/>
        </w:rPr>
        <w:t xml:space="preserve">Intrusive risk exposure was nearly equal to </w:t>
      </w:r>
      <w:r w:rsidR="00914459">
        <w:rPr>
          <w:rFonts w:ascii="Segoe UI" w:hAnsi="Segoe UI" w:cs="Segoe UI"/>
          <w:sz w:val="20"/>
          <w:szCs w:val="20"/>
        </w:rPr>
        <w:t xml:space="preserve">the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average </w:t>
      </w:r>
      <w:r w:rsidR="00BE1835">
        <w:rPr>
          <w:rFonts w:ascii="Segoe UI" w:hAnsi="Segoe UI" w:cs="Segoe UI"/>
          <w:sz w:val="20"/>
          <w:szCs w:val="20"/>
        </w:rPr>
        <w:t>(52%</w:t>
      </w:r>
      <w:r w:rsidR="00971D1E">
        <w:rPr>
          <w:rFonts w:ascii="Segoe UI" w:hAnsi="Segoe UI" w:cs="Segoe UI"/>
          <w:sz w:val="20"/>
          <w:szCs w:val="20"/>
        </w:rPr>
        <w:t>, 5</w:t>
      </w:r>
      <w:r w:rsidR="00BE1835">
        <w:rPr>
          <w:rFonts w:ascii="Segoe UI" w:hAnsi="Segoe UI" w:cs="Segoe UI"/>
          <w:sz w:val="20"/>
          <w:szCs w:val="20"/>
        </w:rPr>
        <w:t>0</w:t>
      </w:r>
      <w:r w:rsidR="00971D1E">
        <w:rPr>
          <w:rFonts w:ascii="Segoe UI" w:hAnsi="Segoe UI" w:cs="Segoe UI"/>
          <w:sz w:val="20"/>
          <w:szCs w:val="20"/>
        </w:rPr>
        <w:t>%)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5D0A5945" w14:textId="77777777" w:rsidR="00BE1835" w:rsidRPr="00552A1D" w:rsidRDefault="00BE1835" w:rsidP="00BE1835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7C4CFC1B" w14:textId="55B62911" w:rsidR="00901E34" w:rsidRPr="00BE1835" w:rsidRDefault="00901E34" w:rsidP="00901E3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BE1835">
        <w:rPr>
          <w:rFonts w:ascii="Segoe UI" w:hAnsi="Segoe UI" w:cs="Segoe UI"/>
          <w:sz w:val="20"/>
          <w:szCs w:val="20"/>
        </w:rPr>
        <w:t>Unwanted sexting (received</w:t>
      </w:r>
      <w:r w:rsidR="003F430D">
        <w:rPr>
          <w:rFonts w:ascii="Segoe UI" w:hAnsi="Segoe UI" w:cs="Segoe UI"/>
          <w:sz w:val="20"/>
          <w:szCs w:val="20"/>
        </w:rPr>
        <w:t xml:space="preserve"> or sent - 21%) and S</w:t>
      </w:r>
      <w:r>
        <w:rPr>
          <w:rFonts w:ascii="Segoe UI" w:hAnsi="Segoe UI" w:cs="Segoe UI"/>
          <w:sz w:val="20"/>
          <w:szCs w:val="20"/>
        </w:rPr>
        <w:t>exual solicitation (16</w:t>
      </w:r>
      <w:r w:rsidRPr="00BE1835">
        <w:rPr>
          <w:rFonts w:ascii="Segoe UI" w:hAnsi="Segoe UI" w:cs="Segoe UI"/>
          <w:sz w:val="20"/>
          <w:szCs w:val="20"/>
        </w:rPr>
        <w:t xml:space="preserve">%) were the </w:t>
      </w:r>
      <w:r>
        <w:rPr>
          <w:rFonts w:ascii="Segoe UI" w:hAnsi="Segoe UI" w:cs="Segoe UI"/>
          <w:sz w:val="20"/>
          <w:szCs w:val="20"/>
        </w:rPr>
        <w:t>most common S</w:t>
      </w:r>
      <w:r w:rsidRPr="00BE1835">
        <w:rPr>
          <w:rFonts w:ascii="Segoe UI" w:hAnsi="Segoe UI" w:cs="Segoe UI"/>
          <w:sz w:val="20"/>
          <w:szCs w:val="20"/>
        </w:rPr>
        <w:t xml:space="preserve">exual risks. </w:t>
      </w:r>
    </w:p>
    <w:p w14:paraId="5ACC8113" w14:textId="1D82082A" w:rsidR="00BE1835" w:rsidRDefault="00BE1835" w:rsidP="00D37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Exposure to Sexual risks (30%) in France matched the </w:t>
      </w:r>
      <w:r w:rsidRPr="00BE1835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>average</w:t>
      </w:r>
      <w:r w:rsidR="00901E34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>.</w:t>
      </w:r>
      <w:r w:rsidRPr="00BE1835">
        <w:rPr>
          <w:rFonts w:ascii="Segoe UI" w:hAnsi="Segoe UI" w:cs="Segoe UI"/>
          <w:sz w:val="20"/>
          <w:szCs w:val="20"/>
        </w:rPr>
        <w:t xml:space="preserve"> </w:t>
      </w:r>
    </w:p>
    <w:p w14:paraId="58B88751" w14:textId="1F10BBD4" w:rsidR="00314C05" w:rsidRPr="003863D0" w:rsidRDefault="0065056A" w:rsidP="00BE1835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6B7C6360" w14:textId="5DE08987" w:rsidR="007A1241" w:rsidRPr="007A1241" w:rsidRDefault="00914459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Behavioral</w:t>
      </w:r>
      <w:r w:rsidR="00B6622D">
        <w:rPr>
          <w:rFonts w:ascii="Segoe UI" w:hAnsi="Segoe UI" w:cs="Segoe UI"/>
          <w:sz w:val="20"/>
          <w:szCs w:val="20"/>
        </w:rPr>
        <w:t xml:space="preserve"> </w:t>
      </w:r>
      <w:r w:rsidR="00437F90">
        <w:rPr>
          <w:rFonts w:ascii="Segoe UI" w:hAnsi="Segoe UI" w:cs="Segoe UI"/>
          <w:sz w:val="20"/>
          <w:szCs w:val="20"/>
        </w:rPr>
        <w:t>risks in France were 27 points lower than the international average (14</w:t>
      </w:r>
      <w:r w:rsidR="00B6622D">
        <w:rPr>
          <w:rFonts w:ascii="Segoe UI" w:hAnsi="Segoe UI" w:cs="Segoe UI"/>
          <w:sz w:val="20"/>
          <w:szCs w:val="20"/>
        </w:rPr>
        <w:t>%</w:t>
      </w:r>
      <w:r w:rsidR="00437F90">
        <w:rPr>
          <w:rFonts w:ascii="Segoe UI" w:hAnsi="Segoe UI" w:cs="Segoe UI"/>
          <w:sz w:val="20"/>
          <w:szCs w:val="20"/>
        </w:rPr>
        <w:t>, 41%</w:t>
      </w:r>
      <w:r w:rsidR="00B6622D">
        <w:rPr>
          <w:rFonts w:ascii="Segoe UI" w:hAnsi="Segoe UI" w:cs="Segoe UI"/>
          <w:sz w:val="20"/>
          <w:szCs w:val="20"/>
        </w:rPr>
        <w:t>)</w:t>
      </w:r>
      <w:r w:rsidR="00437F90">
        <w:rPr>
          <w:rFonts w:ascii="Segoe UI" w:hAnsi="Segoe UI" w:cs="Segoe UI"/>
          <w:sz w:val="20"/>
          <w:szCs w:val="20"/>
        </w:rPr>
        <w:t xml:space="preserve">.  </w:t>
      </w:r>
      <w:r w:rsidR="008F7230">
        <w:rPr>
          <w:rFonts w:ascii="Segoe UI" w:hAnsi="Segoe UI" w:cs="Segoe UI"/>
          <w:sz w:val="20"/>
          <w:szCs w:val="20"/>
        </w:rPr>
        <w:t>Treated mean showed the greatest difference between France and international (</w:t>
      </w:r>
      <w:r w:rsidR="00AF5D50">
        <w:rPr>
          <w:rFonts w:ascii="Segoe UI" w:hAnsi="Segoe UI" w:cs="Segoe UI"/>
          <w:sz w:val="20"/>
          <w:szCs w:val="20"/>
        </w:rPr>
        <w:t>-20%)</w:t>
      </w:r>
      <w:r w:rsidR="008F7230">
        <w:rPr>
          <w:rFonts w:ascii="Segoe UI" w:hAnsi="Segoe UI" w:cs="Segoe UI"/>
          <w:sz w:val="20"/>
          <w:szCs w:val="20"/>
        </w:rPr>
        <w:t xml:space="preserve">. </w:t>
      </w:r>
    </w:p>
    <w:p w14:paraId="3D342AC0" w14:textId="2EDAAD9E" w:rsidR="003A7A74" w:rsidRPr="00B275B3" w:rsidRDefault="008F7230" w:rsidP="00675A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incidence of all Behavioral risks was less than ten percent led by </w:t>
      </w:r>
      <w:r w:rsidR="007A1241">
        <w:rPr>
          <w:rFonts w:ascii="Segoe UI" w:hAnsi="Segoe UI" w:cs="Segoe UI"/>
          <w:sz w:val="20"/>
          <w:szCs w:val="20"/>
        </w:rPr>
        <w:t xml:space="preserve">Trolling </w:t>
      </w:r>
      <w:r w:rsidR="00B275B3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 xml:space="preserve">9%). </w:t>
      </w:r>
    </w:p>
    <w:p w14:paraId="5300F3D1" w14:textId="77777777" w:rsidR="00552A1D" w:rsidRPr="00552A1D" w:rsidRDefault="00552A1D" w:rsidP="00552A1D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3AC2DA6" w14:textId="021DED77" w:rsidR="00552A1D" w:rsidRPr="00552A1D" w:rsidRDefault="00552A1D" w:rsidP="00552A1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 xml:space="preserve">People encountered Reputational risks at a </w:t>
      </w:r>
      <w:r w:rsidR="002532DD">
        <w:rPr>
          <w:rFonts w:ascii="Segoe UI" w:hAnsi="Segoe UI" w:cs="Segoe UI"/>
          <w:sz w:val="20"/>
          <w:szCs w:val="20"/>
        </w:rPr>
        <w:t>lower rate vs. international (9</w:t>
      </w:r>
      <w:r w:rsidRPr="00552A1D">
        <w:rPr>
          <w:rFonts w:ascii="Segoe UI" w:hAnsi="Segoe UI" w:cs="Segoe UI"/>
          <w:sz w:val="20"/>
          <w:szCs w:val="20"/>
        </w:rPr>
        <w:t xml:space="preserve">% vs. 19%) led by </w:t>
      </w:r>
      <w:r w:rsidR="002532DD">
        <w:rPr>
          <w:rFonts w:ascii="Segoe UI" w:hAnsi="Segoe UI" w:cs="Segoe UI"/>
          <w:sz w:val="20"/>
          <w:szCs w:val="20"/>
        </w:rPr>
        <w:t>Doxing (5%) and Damage to personal</w:t>
      </w:r>
      <w:r w:rsidRPr="00552A1D">
        <w:rPr>
          <w:rFonts w:ascii="Segoe UI" w:hAnsi="Segoe UI" w:cs="Segoe UI"/>
          <w:sz w:val="20"/>
          <w:szCs w:val="20"/>
        </w:rPr>
        <w:t xml:space="preserve"> reputation </w:t>
      </w:r>
      <w:r w:rsidR="002532DD">
        <w:rPr>
          <w:rFonts w:ascii="Segoe UI" w:hAnsi="Segoe UI" w:cs="Segoe UI"/>
          <w:sz w:val="20"/>
          <w:szCs w:val="20"/>
        </w:rPr>
        <w:t>(5%)</w:t>
      </w:r>
      <w:r w:rsidRPr="00552A1D">
        <w:rPr>
          <w:rFonts w:ascii="Segoe UI" w:hAnsi="Segoe UI" w:cs="Segoe UI"/>
          <w:sz w:val="20"/>
          <w:szCs w:val="20"/>
        </w:rPr>
        <w:t>.</w:t>
      </w:r>
    </w:p>
    <w:p w14:paraId="284495B0" w14:textId="3780A892" w:rsidR="004A4F7E" w:rsidRPr="00552A1D" w:rsidRDefault="004A4F7E" w:rsidP="00437F90">
      <w:pPr>
        <w:pStyle w:val="ListParagraph"/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Segoe UI" w:hAnsi="Segoe UI" w:cs="Segoe UI"/>
          <w:b/>
          <w:sz w:val="20"/>
          <w:szCs w:val="20"/>
        </w:rPr>
      </w:pPr>
    </w:p>
    <w:p w14:paraId="6A2F4558" w14:textId="0CEE4252" w:rsidR="007242A3" w:rsidRDefault="00754EDE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54EDE">
        <w:rPr>
          <w:noProof/>
        </w:rPr>
        <w:drawing>
          <wp:anchor distT="0" distB="0" distL="114300" distR="114300" simplePos="0" relativeHeight="251734016" behindDoc="0" locked="0" layoutInCell="1" allowOverlap="1" wp14:anchorId="7F1C0634" wp14:editId="0D35EA91">
            <wp:simplePos x="0" y="0"/>
            <wp:positionH relativeFrom="column">
              <wp:posOffset>38100</wp:posOffset>
            </wp:positionH>
            <wp:positionV relativeFrom="paragraph">
              <wp:posOffset>391795</wp:posOffset>
            </wp:positionV>
            <wp:extent cx="3392424" cy="396849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0E2A36E0" w:rsidR="00821F5C" w:rsidRPr="00D36725" w:rsidRDefault="00542F1F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4C8ADC8E" wp14:editId="77678F91">
            <wp:simplePos x="0" y="0"/>
            <wp:positionH relativeFrom="column">
              <wp:posOffset>3634740</wp:posOffset>
            </wp:positionH>
            <wp:positionV relativeFrom="paragraph">
              <wp:posOffset>480060</wp:posOffset>
            </wp:positionV>
            <wp:extent cx="3392170" cy="3364865"/>
            <wp:effectExtent l="0" t="0" r="0" b="69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7677A5E0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B16AD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4ABA4A48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D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25A990D1" w:rsidR="006C36D4" w:rsidRDefault="00FD150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Over six </w:t>
      </w:r>
      <w:r w:rsidR="00C211B3">
        <w:rPr>
          <w:rFonts w:ascii="Segoe UI" w:hAnsi="Segoe UI" w:cs="Segoe UI"/>
          <w:sz w:val="20"/>
          <w:szCs w:val="20"/>
        </w:rPr>
        <w:t xml:space="preserve">in ten </w:t>
      </w:r>
      <w:r>
        <w:rPr>
          <w:rFonts w:ascii="Segoe UI" w:hAnsi="Segoe UI" w:cs="Segoe UI"/>
          <w:sz w:val="20"/>
          <w:szCs w:val="20"/>
        </w:rPr>
        <w:t xml:space="preserve">French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</w:t>
      </w:r>
      <w:r>
        <w:rPr>
          <w:rFonts w:ascii="Segoe UI" w:hAnsi="Segoe UI" w:cs="Segoe UI"/>
          <w:sz w:val="20"/>
          <w:szCs w:val="20"/>
        </w:rPr>
        <w:t xml:space="preserve">slightly lower than the </w:t>
      </w:r>
      <w:r w:rsidR="00AA6731">
        <w:rPr>
          <w:rFonts w:ascii="Segoe UI" w:hAnsi="Segoe UI" w:cs="Segoe UI"/>
          <w:sz w:val="20"/>
          <w:szCs w:val="20"/>
        </w:rPr>
        <w:t>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4E372369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="001B2BDB">
        <w:rPr>
          <w:rFonts w:ascii="Segoe UI" w:hAnsi="Segoe UI" w:cs="Segoe UI"/>
          <w:sz w:val="20"/>
          <w:szCs w:val="20"/>
        </w:rPr>
        <w:t>l</w:t>
      </w:r>
      <w:r w:rsidRPr="006C36D4">
        <w:rPr>
          <w:rFonts w:ascii="Segoe UI" w:hAnsi="Segoe UI" w:cs="Segoe UI"/>
          <w:sz w:val="20"/>
          <w:szCs w:val="20"/>
        </w:rPr>
        <w:t xml:space="preserve">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FD1506">
        <w:rPr>
          <w:rFonts w:ascii="Segoe UI" w:hAnsi="Segoe UI" w:cs="Segoe UI"/>
          <w:sz w:val="20"/>
          <w:szCs w:val="20"/>
        </w:rPr>
        <w:t>4</w:t>
      </w:r>
      <w:r w:rsidR="009F1C11">
        <w:rPr>
          <w:rFonts w:ascii="Segoe UI" w:hAnsi="Segoe UI" w:cs="Segoe UI"/>
          <w:sz w:val="20"/>
          <w:szCs w:val="20"/>
        </w:rPr>
        <w:t xml:space="preserve">0%)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</w:t>
      </w:r>
      <w:r w:rsidR="00FD1506">
        <w:rPr>
          <w:rFonts w:ascii="Segoe UI" w:hAnsi="Segoe UI" w:cs="Segoe UI"/>
          <w:sz w:val="20"/>
          <w:szCs w:val="20"/>
        </w:rPr>
        <w:t>39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</w:t>
      </w:r>
      <w:r w:rsidR="00F22D54">
        <w:rPr>
          <w:rFonts w:ascii="Segoe UI" w:hAnsi="Segoe UI" w:cs="Segoe UI"/>
          <w:sz w:val="20"/>
          <w:szCs w:val="20"/>
        </w:rPr>
        <w:t>Thus</w:t>
      </w:r>
      <w:r>
        <w:rPr>
          <w:rFonts w:ascii="Segoe UI" w:hAnsi="Segoe UI" w:cs="Segoe UI"/>
          <w:sz w:val="20"/>
          <w:szCs w:val="20"/>
        </w:rPr>
        <w:t xml:space="preserve">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F22D54">
        <w:rPr>
          <w:rFonts w:ascii="Segoe UI" w:hAnsi="Segoe UI" w:cs="Segoe UI"/>
          <w:sz w:val="20"/>
          <w:szCs w:val="20"/>
        </w:rPr>
        <w:t>, lost sleep or lost a friend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2CD91DF3" w:rsidR="00831BE6" w:rsidRDefault="00FD1506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25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C3241C"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 w:rsidR="00AA6731"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 w:rsidR="00AA6731">
        <w:rPr>
          <w:rFonts w:ascii="Segoe UI" w:hAnsi="Segoe UI" w:cs="Segoe UI"/>
          <w:sz w:val="20"/>
          <w:szCs w:val="20"/>
        </w:rPr>
        <w:t xml:space="preserve"> </w:t>
      </w:r>
      <w:r w:rsidR="00C3241C">
        <w:rPr>
          <w:rFonts w:ascii="Segoe UI" w:hAnsi="Segoe UI" w:cs="Segoe UI"/>
          <w:sz w:val="20"/>
          <w:szCs w:val="20"/>
        </w:rPr>
        <w:t xml:space="preserve">about the same as </w:t>
      </w:r>
      <w:r w:rsidR="00AA6731">
        <w:rPr>
          <w:rFonts w:ascii="Segoe UI" w:hAnsi="Segoe UI" w:cs="Segoe UI"/>
          <w:sz w:val="20"/>
          <w:szCs w:val="20"/>
        </w:rPr>
        <w:t>international (27%).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205EAFF9" w14:textId="1C34E874" w:rsidR="00F22D54" w:rsidRDefault="00F22D5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French consumers were less likely to suffer from stress </w:t>
      </w:r>
      <w:r w:rsidR="00C211B3">
        <w:rPr>
          <w:rFonts w:ascii="Segoe UI" w:hAnsi="Segoe UI" w:cs="Segoe UI"/>
          <w:sz w:val="20"/>
          <w:szCs w:val="20"/>
        </w:rPr>
        <w:t>from exposure to an online risk</w:t>
      </w:r>
      <w:r>
        <w:rPr>
          <w:rFonts w:ascii="Segoe UI" w:hAnsi="Segoe UI" w:cs="Segoe UI"/>
          <w:sz w:val="20"/>
          <w:szCs w:val="20"/>
        </w:rPr>
        <w:t xml:space="preserve"> than their international counterparts (13%, 24%).</w:t>
      </w:r>
    </w:p>
    <w:p w14:paraId="130A1DFE" w14:textId="35DEF448" w:rsidR="00AB433A" w:rsidRPr="00F22D54" w:rsidRDefault="00AB433A" w:rsidP="00F22D54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8351E6B" w14:textId="77777777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3A371AC5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6F0ADB7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546BA1E3">
                <wp:simplePos x="0" y="0"/>
                <wp:positionH relativeFrom="column">
                  <wp:posOffset>3596640</wp:posOffset>
                </wp:positionH>
                <wp:positionV relativeFrom="paragraph">
                  <wp:posOffset>189230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1EAFF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9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" strokecolor="gray [1629]" strokeweight=".5pt"/>
            </w:pict>
          </mc:Fallback>
        </mc:AlternateContent>
      </w:r>
    </w:p>
    <w:p w14:paraId="0A5E3F2D" w14:textId="522678DE" w:rsidR="004278A7" w:rsidRDefault="00F22D54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F22D54">
        <w:rPr>
          <w:noProof/>
        </w:rPr>
        <w:drawing>
          <wp:anchor distT="0" distB="0" distL="114300" distR="114300" simplePos="0" relativeHeight="251735040" behindDoc="0" locked="0" layoutInCell="1" allowOverlap="1" wp14:anchorId="002EA2B8" wp14:editId="21DF960E">
            <wp:simplePos x="0" y="0"/>
            <wp:positionH relativeFrom="column">
              <wp:posOffset>3596640</wp:posOffset>
            </wp:positionH>
            <wp:positionV relativeFrom="paragraph">
              <wp:posOffset>161290</wp:posOffset>
            </wp:positionV>
            <wp:extent cx="3392424" cy="4151376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1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D54">
        <w:t xml:space="preserve"> </w:t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476927AE" w:rsidR="00371E9C" w:rsidRPr="00AB4812" w:rsidRDefault="002E1321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41</w:t>
      </w:r>
      <w:r w:rsidR="00AB4BEE">
        <w:rPr>
          <w:rFonts w:ascii="Segoe UI" w:hAnsi="Segoe UI" w:cs="Segoe UI"/>
          <w:sz w:val="20"/>
          <w:szCs w:val="20"/>
        </w:rPr>
        <w:t xml:space="preserve">% of </w:t>
      </w:r>
      <w:r w:rsidR="00347760">
        <w:rPr>
          <w:rFonts w:ascii="Segoe UI" w:hAnsi="Segoe UI" w:cs="Segoe UI"/>
          <w:sz w:val="20"/>
          <w:szCs w:val="20"/>
        </w:rPr>
        <w:t>consumers in France</w:t>
      </w:r>
      <w:r w:rsidR="00897ED2">
        <w:rPr>
          <w:rFonts w:ascii="Segoe UI" w:hAnsi="Segoe UI" w:cs="Segoe UI"/>
          <w:sz w:val="20"/>
          <w:szCs w:val="20"/>
        </w:rPr>
        <w:t xml:space="preserve"> </w:t>
      </w:r>
      <w:r w:rsidR="00B035C4">
        <w:rPr>
          <w:rFonts w:ascii="Segoe UI" w:hAnsi="Segoe UI" w:cs="Segoe UI"/>
          <w:sz w:val="20"/>
          <w:szCs w:val="20"/>
        </w:rPr>
        <w:t xml:space="preserve">were much more or more concerned about online risks overall. 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 w:rsidR="00DE1696">
        <w:rPr>
          <w:rFonts w:ascii="Segoe UI" w:hAnsi="Segoe UI" w:cs="Segoe UI"/>
          <w:sz w:val="20"/>
          <w:szCs w:val="20"/>
        </w:rPr>
        <w:t xml:space="preserve">more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371E9C">
        <w:rPr>
          <w:rFonts w:ascii="Segoe UI" w:hAnsi="Segoe UI" w:cs="Segoe UI"/>
          <w:sz w:val="20"/>
          <w:szCs w:val="20"/>
        </w:rPr>
        <w:t xml:space="preserve">outside the </w:t>
      </w:r>
      <w:r w:rsidR="00DE1696">
        <w:rPr>
          <w:rFonts w:ascii="Segoe UI" w:hAnsi="Segoe UI" w:cs="Segoe UI"/>
          <w:sz w:val="20"/>
          <w:szCs w:val="20"/>
        </w:rPr>
        <w:t>country</w:t>
      </w:r>
      <w:r w:rsidR="00371E9C">
        <w:rPr>
          <w:rFonts w:ascii="Segoe UI" w:hAnsi="Segoe UI" w:cs="Segoe UI"/>
          <w:sz w:val="20"/>
          <w:szCs w:val="20"/>
        </w:rPr>
        <w:t xml:space="preserve">. </w:t>
      </w:r>
      <w:r w:rsidR="00B035C4">
        <w:rPr>
          <w:rFonts w:ascii="Segoe UI" w:hAnsi="Segoe UI" w:cs="Segoe UI"/>
          <w:sz w:val="20"/>
          <w:szCs w:val="20"/>
        </w:rPr>
        <w:t>(</w:t>
      </w:r>
      <w:r w:rsidR="00371E9C">
        <w:rPr>
          <w:rFonts w:ascii="Segoe UI" w:hAnsi="Segoe UI" w:cs="Segoe UI"/>
          <w:sz w:val="20"/>
          <w:szCs w:val="20"/>
        </w:rPr>
        <w:t>Int</w:t>
      </w:r>
      <w:r w:rsidR="001B2BDB">
        <w:rPr>
          <w:rFonts w:ascii="Segoe UI" w:hAnsi="Segoe UI" w:cs="Segoe UI"/>
          <w:sz w:val="20"/>
          <w:szCs w:val="20"/>
        </w:rPr>
        <w:t>ernational</w:t>
      </w:r>
      <w:r w:rsidR="00371E9C">
        <w:rPr>
          <w:rFonts w:ascii="Segoe UI" w:hAnsi="Segoe UI" w:cs="Segoe UI"/>
          <w:sz w:val="20"/>
          <w:szCs w:val="20"/>
        </w:rPr>
        <w:t xml:space="preserve">, </w:t>
      </w:r>
      <w:r w:rsidR="000D12BC">
        <w:rPr>
          <w:rFonts w:ascii="Segoe UI" w:hAnsi="Segoe UI" w:cs="Segoe UI"/>
          <w:sz w:val="20"/>
          <w:szCs w:val="20"/>
        </w:rPr>
        <w:t xml:space="preserve">50%).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49DE691D" w:rsidR="00AB4812" w:rsidRDefault="002E1321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Intrusive risks (47%) </w:t>
      </w:r>
      <w:r w:rsidR="00A61C40">
        <w:rPr>
          <w:rFonts w:ascii="Segoe UI" w:hAnsi="Segoe UI" w:cs="Segoe UI"/>
          <w:sz w:val="20"/>
          <w:szCs w:val="20"/>
        </w:rPr>
        <w:t xml:space="preserve">were </w:t>
      </w:r>
      <w:r w:rsidR="00AA536A">
        <w:rPr>
          <w:rFonts w:ascii="Segoe UI" w:hAnsi="Segoe UI" w:cs="Segoe UI"/>
          <w:sz w:val="20"/>
          <w:szCs w:val="20"/>
        </w:rPr>
        <w:t xml:space="preserve">ranked </w:t>
      </w:r>
      <w:r w:rsidR="00A61C40">
        <w:rPr>
          <w:rFonts w:ascii="Segoe UI" w:hAnsi="Segoe UI" w:cs="Segoe UI"/>
          <w:sz w:val="20"/>
          <w:szCs w:val="20"/>
        </w:rPr>
        <w:t xml:space="preserve">the most </w:t>
      </w:r>
      <w:r w:rsidR="00AA536A">
        <w:rPr>
          <w:rFonts w:ascii="Segoe UI" w:hAnsi="Segoe UI" w:cs="Segoe UI"/>
          <w:sz w:val="20"/>
          <w:szCs w:val="20"/>
        </w:rPr>
        <w:t xml:space="preserve">worrisome </w:t>
      </w:r>
      <w:r w:rsidR="00A61C40">
        <w:rPr>
          <w:rFonts w:ascii="Segoe UI" w:hAnsi="Segoe UI" w:cs="Segoe UI"/>
          <w:sz w:val="20"/>
          <w:szCs w:val="20"/>
        </w:rPr>
        <w:t xml:space="preserve">in </w:t>
      </w:r>
      <w:r>
        <w:rPr>
          <w:rFonts w:ascii="Segoe UI" w:hAnsi="Segoe UI" w:cs="Segoe UI"/>
          <w:sz w:val="20"/>
          <w:szCs w:val="20"/>
        </w:rPr>
        <w:t xml:space="preserve">France although this trailed the </w:t>
      </w:r>
      <w:r w:rsidR="00A61C40">
        <w:rPr>
          <w:rFonts w:ascii="Segoe UI" w:hAnsi="Segoe UI" w:cs="Segoe UI"/>
          <w:sz w:val="20"/>
          <w:szCs w:val="20"/>
        </w:rPr>
        <w:t xml:space="preserve">international average </w:t>
      </w:r>
      <w:r w:rsidR="00AB4BEE">
        <w:rPr>
          <w:rFonts w:ascii="Segoe UI" w:hAnsi="Segoe UI" w:cs="Segoe UI"/>
          <w:sz w:val="20"/>
          <w:szCs w:val="20"/>
        </w:rPr>
        <w:t>by 10</w:t>
      </w:r>
      <w:r w:rsidR="007D0457">
        <w:rPr>
          <w:rFonts w:ascii="Segoe UI" w:hAnsi="Segoe UI" w:cs="Segoe UI"/>
          <w:sz w:val="20"/>
          <w:szCs w:val="20"/>
        </w:rPr>
        <w:t>-</w:t>
      </w:r>
      <w:r w:rsidR="00AB4BEE">
        <w:rPr>
          <w:rFonts w:ascii="Segoe UI" w:hAnsi="Segoe UI" w:cs="Segoe UI"/>
          <w:sz w:val="20"/>
          <w:szCs w:val="20"/>
        </w:rPr>
        <w:t>points (</w:t>
      </w:r>
      <w:r>
        <w:rPr>
          <w:rFonts w:ascii="Segoe UI" w:hAnsi="Segoe UI" w:cs="Segoe UI"/>
          <w:sz w:val="20"/>
          <w:szCs w:val="20"/>
        </w:rPr>
        <w:t>47</w:t>
      </w:r>
      <w:r w:rsidR="00AB4BEE">
        <w:rPr>
          <w:rFonts w:ascii="Segoe UI" w:hAnsi="Segoe UI" w:cs="Segoe UI"/>
          <w:sz w:val="20"/>
          <w:szCs w:val="20"/>
        </w:rPr>
        <w:t>%, 5</w:t>
      </w:r>
      <w:r>
        <w:rPr>
          <w:rFonts w:ascii="Segoe UI" w:hAnsi="Segoe UI" w:cs="Segoe UI"/>
          <w:sz w:val="20"/>
          <w:szCs w:val="20"/>
        </w:rPr>
        <w:t>7</w:t>
      </w:r>
      <w:r w:rsidR="00AB4BEE">
        <w:rPr>
          <w:rFonts w:ascii="Segoe UI" w:hAnsi="Segoe UI" w:cs="Segoe UI"/>
          <w:sz w:val="20"/>
          <w:szCs w:val="20"/>
        </w:rPr>
        <w:t>%).</w:t>
      </w:r>
      <w:r w:rsidR="00AA536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The other three risk categories showed even greater differences with international most notably Behavioral 17</w:t>
      </w:r>
      <w:r w:rsidR="007D0457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>points (38%, 55%).</w:t>
      </w:r>
      <w:r w:rsidR="00AB4BEE">
        <w:rPr>
          <w:rFonts w:ascii="Segoe UI" w:hAnsi="Segoe UI" w:cs="Segoe UI"/>
          <w:sz w:val="20"/>
          <w:szCs w:val="20"/>
        </w:rPr>
        <w:t xml:space="preserve">   </w:t>
      </w:r>
    </w:p>
    <w:p w14:paraId="559EAA5C" w14:textId="4B87C6E1" w:rsidR="00CB5735" w:rsidRPr="00AB4812" w:rsidRDefault="00706F16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Terrorism recruiting </w:t>
      </w:r>
      <w:r w:rsidR="00AB4BEE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3</w:t>
      </w:r>
      <w:r w:rsidR="00AB4BEE">
        <w:rPr>
          <w:rFonts w:ascii="Segoe UI" w:hAnsi="Segoe UI" w:cs="Segoe UI"/>
          <w:sz w:val="20"/>
          <w:szCs w:val="20"/>
        </w:rPr>
        <w:t>5%) was the most frequent</w:t>
      </w:r>
      <w:r w:rsidR="0095185B">
        <w:rPr>
          <w:rFonts w:ascii="Segoe UI" w:hAnsi="Segoe UI" w:cs="Segoe UI"/>
          <w:sz w:val="20"/>
          <w:szCs w:val="20"/>
        </w:rPr>
        <w:t xml:space="preserve">ly </w:t>
      </w:r>
      <w:r>
        <w:rPr>
          <w:rFonts w:ascii="Segoe UI" w:hAnsi="Segoe UI" w:cs="Segoe UI"/>
          <w:sz w:val="20"/>
          <w:szCs w:val="20"/>
        </w:rPr>
        <w:t>cited</w:t>
      </w:r>
      <w:r w:rsidR="00AB4BEE">
        <w:rPr>
          <w:rFonts w:ascii="Segoe UI" w:hAnsi="Segoe UI" w:cs="Segoe UI"/>
          <w:sz w:val="20"/>
          <w:szCs w:val="20"/>
        </w:rPr>
        <w:t xml:space="preserve"> </w:t>
      </w:r>
      <w:r w:rsidR="00DD3898">
        <w:rPr>
          <w:rFonts w:ascii="Segoe UI" w:hAnsi="Segoe UI" w:cs="Segoe UI"/>
          <w:sz w:val="20"/>
          <w:szCs w:val="20"/>
        </w:rPr>
        <w:t>concern</w:t>
      </w:r>
      <w:r w:rsidR="00AB4BEE">
        <w:rPr>
          <w:rFonts w:ascii="Segoe UI" w:hAnsi="Segoe UI" w:cs="Segoe UI"/>
          <w:sz w:val="20"/>
          <w:szCs w:val="20"/>
        </w:rPr>
        <w:t xml:space="preserve"> in </w:t>
      </w:r>
      <w:r>
        <w:rPr>
          <w:rFonts w:ascii="Segoe UI" w:hAnsi="Segoe UI" w:cs="Segoe UI"/>
          <w:sz w:val="20"/>
          <w:szCs w:val="20"/>
        </w:rPr>
        <w:t>France followed closely by Doxing (34%) and Damage to personal reputation (31%).</w:t>
      </w:r>
    </w:p>
    <w:p w14:paraId="740352AD" w14:textId="0712613C" w:rsidR="00AB4812" w:rsidRPr="00AB4812" w:rsidRDefault="00AA536A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 general,</w:t>
      </w:r>
      <w:r w:rsidR="00346661">
        <w:rPr>
          <w:rFonts w:ascii="Segoe UI" w:hAnsi="Segoe UI" w:cs="Segoe UI"/>
          <w:sz w:val="20"/>
          <w:szCs w:val="20"/>
        </w:rPr>
        <w:t xml:space="preserve"> people in France s</w:t>
      </w:r>
      <w:r w:rsidR="00212827">
        <w:rPr>
          <w:rFonts w:ascii="Segoe UI" w:hAnsi="Segoe UI" w:cs="Segoe UI"/>
          <w:sz w:val="20"/>
          <w:szCs w:val="20"/>
        </w:rPr>
        <w:t xml:space="preserve">aid they had </w:t>
      </w:r>
      <w:r w:rsidR="00784998">
        <w:rPr>
          <w:rFonts w:ascii="Segoe UI" w:hAnsi="Segoe UI" w:cs="Segoe UI"/>
          <w:sz w:val="20"/>
          <w:szCs w:val="20"/>
        </w:rPr>
        <w:t>l</w:t>
      </w:r>
      <w:r w:rsidR="0005731D">
        <w:rPr>
          <w:rFonts w:ascii="Segoe UI" w:hAnsi="Segoe UI" w:cs="Segoe UI"/>
          <w:sz w:val="20"/>
          <w:szCs w:val="20"/>
        </w:rPr>
        <w:t xml:space="preserve">ower </w:t>
      </w:r>
      <w:r w:rsidR="00784998">
        <w:rPr>
          <w:rFonts w:ascii="Segoe UI" w:hAnsi="Segoe UI" w:cs="Segoe UI"/>
          <w:sz w:val="20"/>
          <w:szCs w:val="20"/>
        </w:rPr>
        <w:t xml:space="preserve">concerns </w:t>
      </w:r>
      <w:r w:rsidR="00FF03DE">
        <w:rPr>
          <w:rFonts w:ascii="Segoe UI" w:hAnsi="Segoe UI" w:cs="Segoe UI"/>
          <w:sz w:val="20"/>
          <w:szCs w:val="20"/>
        </w:rPr>
        <w:t xml:space="preserve">across </w:t>
      </w:r>
      <w:r w:rsidR="00212827">
        <w:rPr>
          <w:rFonts w:ascii="Segoe UI" w:hAnsi="Segoe UI" w:cs="Segoe UI"/>
          <w:sz w:val="20"/>
          <w:szCs w:val="20"/>
        </w:rPr>
        <w:t>nearly all</w:t>
      </w:r>
      <w:r w:rsidR="00AB4812" w:rsidRPr="00AB4812">
        <w:rPr>
          <w:rFonts w:ascii="Segoe UI" w:hAnsi="Segoe UI" w:cs="Segoe UI"/>
          <w:sz w:val="20"/>
          <w:szCs w:val="20"/>
        </w:rPr>
        <w:t xml:space="preserve"> online risks compared to international</w:t>
      </w:r>
      <w:r w:rsidR="004D1077">
        <w:rPr>
          <w:rFonts w:ascii="Segoe UI" w:hAnsi="Segoe UI" w:cs="Segoe UI"/>
          <w:sz w:val="20"/>
          <w:szCs w:val="20"/>
        </w:rPr>
        <w:t>.</w:t>
      </w:r>
      <w:r w:rsidR="007D0457">
        <w:rPr>
          <w:rFonts w:ascii="Segoe UI" w:hAnsi="Segoe UI" w:cs="Segoe UI"/>
          <w:sz w:val="20"/>
          <w:szCs w:val="20"/>
        </w:rPr>
        <w:t xml:space="preserve"> </w:t>
      </w:r>
      <w:r w:rsidR="00706F16">
        <w:rPr>
          <w:rFonts w:ascii="Segoe UI" w:hAnsi="Segoe UI" w:cs="Segoe UI"/>
          <w:sz w:val="20"/>
          <w:szCs w:val="20"/>
        </w:rPr>
        <w:t xml:space="preserve">Cyberbullying </w:t>
      </w:r>
      <w:r w:rsidR="004D1077">
        <w:rPr>
          <w:rFonts w:ascii="Segoe UI" w:hAnsi="Segoe UI" w:cs="Segoe UI"/>
          <w:sz w:val="20"/>
          <w:szCs w:val="20"/>
        </w:rPr>
        <w:t>(</w:t>
      </w:r>
      <w:r w:rsidR="007D0457">
        <w:rPr>
          <w:rFonts w:ascii="Segoe UI" w:hAnsi="Segoe UI" w:cs="Segoe UI"/>
          <w:sz w:val="20"/>
          <w:szCs w:val="20"/>
        </w:rPr>
        <w:t>-15%)</w:t>
      </w:r>
      <w:r w:rsidR="004D1077">
        <w:rPr>
          <w:rFonts w:ascii="Segoe UI" w:hAnsi="Segoe UI" w:cs="Segoe UI"/>
          <w:sz w:val="20"/>
          <w:szCs w:val="20"/>
        </w:rPr>
        <w:t xml:space="preserve"> and </w:t>
      </w:r>
      <w:r w:rsidR="00212827">
        <w:rPr>
          <w:rFonts w:ascii="Segoe UI" w:hAnsi="Segoe UI" w:cs="Segoe UI"/>
          <w:sz w:val="20"/>
          <w:szCs w:val="20"/>
        </w:rPr>
        <w:t>Discrimination (</w:t>
      </w:r>
      <w:r w:rsidR="007D0457">
        <w:rPr>
          <w:rFonts w:ascii="Segoe UI" w:hAnsi="Segoe UI" w:cs="Segoe UI"/>
          <w:sz w:val="20"/>
          <w:szCs w:val="20"/>
        </w:rPr>
        <w:t>-14%)</w:t>
      </w:r>
      <w:r w:rsidR="00FF03DE">
        <w:rPr>
          <w:rFonts w:ascii="Segoe UI" w:hAnsi="Segoe UI" w:cs="Segoe UI"/>
          <w:sz w:val="20"/>
          <w:szCs w:val="20"/>
        </w:rPr>
        <w:t xml:space="preserve"> showed the largest differences between </w:t>
      </w:r>
      <w:r w:rsidR="00706F16">
        <w:rPr>
          <w:rFonts w:ascii="Segoe UI" w:hAnsi="Segoe UI" w:cs="Segoe UI"/>
          <w:sz w:val="20"/>
          <w:szCs w:val="20"/>
        </w:rPr>
        <w:t>France</w:t>
      </w:r>
      <w:r w:rsidR="00FF03DE">
        <w:rPr>
          <w:rFonts w:ascii="Segoe UI" w:hAnsi="Segoe UI" w:cs="Segoe UI"/>
          <w:sz w:val="20"/>
          <w:szCs w:val="20"/>
        </w:rPr>
        <w:t xml:space="preserve"> and international</w:t>
      </w:r>
      <w:r w:rsidR="004D1077">
        <w:rPr>
          <w:rFonts w:ascii="Segoe UI" w:hAnsi="Segoe UI" w:cs="Segoe UI"/>
          <w:sz w:val="20"/>
          <w:szCs w:val="20"/>
        </w:rPr>
        <w:t>.</w:t>
      </w: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5ABA469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66508760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5278F56A" w:rsidR="00C66A0E" w:rsidRDefault="00347760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Over one-third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004873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18CB1CDB" w:rsidR="00BF5800" w:rsidRPr="00C12BD1" w:rsidRDefault="00E97695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35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 xml:space="preserve">French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1611216A" w:rsidR="00BF5800" w:rsidRPr="00C12BD1" w:rsidRDefault="00E97695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13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 which was </w:t>
      </w:r>
      <w:r>
        <w:rPr>
          <w:rFonts w:ascii="Segoe UI" w:hAnsi="Segoe UI" w:cs="Segoe UI"/>
          <w:sz w:val="20"/>
          <w:szCs w:val="20"/>
        </w:rPr>
        <w:t xml:space="preserve">nearly equal </w:t>
      </w:r>
      <w:r w:rsidR="00865F52">
        <w:rPr>
          <w:rFonts w:ascii="Segoe UI" w:hAnsi="Segoe UI" w:cs="Segoe UI"/>
          <w:sz w:val="20"/>
          <w:szCs w:val="20"/>
        </w:rPr>
        <w:t xml:space="preserve">to </w:t>
      </w:r>
      <w:r w:rsidR="00FC5B57">
        <w:rPr>
          <w:rFonts w:ascii="Segoe UI" w:hAnsi="Segoe UI" w:cs="Segoe UI"/>
          <w:sz w:val="20"/>
          <w:szCs w:val="20"/>
        </w:rPr>
        <w:t>international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64AE5291" w:rsidR="00F17F51" w:rsidRPr="00BB7986" w:rsidRDefault="00A41ED7" w:rsidP="00E83BE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0C4C4B90" wp14:editId="39426E28">
            <wp:simplePos x="0" y="0"/>
            <wp:positionH relativeFrom="margin">
              <wp:posOffset>0</wp:posOffset>
            </wp:positionH>
            <wp:positionV relativeFrom="paragraph">
              <wp:posOffset>268605</wp:posOffset>
            </wp:positionV>
            <wp:extent cx="6583680" cy="16459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695">
        <w:rPr>
          <w:rFonts w:ascii="Segoe UI" w:hAnsi="Segoe UI" w:cs="Segoe UI"/>
          <w:sz w:val="20"/>
          <w:szCs w:val="20"/>
        </w:rPr>
        <w:t>7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FC5B57">
        <w:rPr>
          <w:rFonts w:ascii="Segoe UI" w:hAnsi="Segoe UI" w:cs="Segoe UI"/>
          <w:sz w:val="20"/>
          <w:szCs w:val="20"/>
        </w:rPr>
        <w:t xml:space="preserve"> compared to </w:t>
      </w:r>
      <w:r w:rsidR="00D65822">
        <w:rPr>
          <w:rFonts w:ascii="Segoe UI" w:hAnsi="Segoe UI" w:cs="Segoe UI"/>
          <w:sz w:val="20"/>
          <w:szCs w:val="20"/>
        </w:rPr>
        <w:t>1</w:t>
      </w:r>
      <w:r w:rsidR="00E97695">
        <w:rPr>
          <w:rFonts w:ascii="Segoe UI" w:hAnsi="Segoe UI" w:cs="Segoe UI"/>
          <w:sz w:val="20"/>
          <w:szCs w:val="20"/>
        </w:rPr>
        <w:t>2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E83BE1">
        <w:rPr>
          <w:rFonts w:ascii="Segoe UI" w:hAnsi="Segoe UI" w:cs="Segoe UI"/>
          <w:sz w:val="20"/>
          <w:szCs w:val="20"/>
        </w:rPr>
        <w:t>.</w:t>
      </w:r>
    </w:p>
    <w:p w14:paraId="39D96B2E" w14:textId="30D147E3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65D03BFE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B24BD98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E92D3" w14:textId="5EB6ADB7" w:rsidR="00D130F8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072C93">
        <w:rPr>
          <w:rFonts w:ascii="Segoe UI" w:hAnsi="Segoe UI" w:cs="Segoe UI"/>
          <w:sz w:val="20"/>
          <w:szCs w:val="20"/>
        </w:rPr>
        <w:t xml:space="preserve"> (13</w:t>
      </w:r>
      <w:r w:rsidR="00B96CD4">
        <w:rPr>
          <w:rFonts w:ascii="Segoe UI" w:hAnsi="Segoe UI" w:cs="Segoe UI"/>
          <w:sz w:val="20"/>
          <w:szCs w:val="20"/>
        </w:rPr>
        <w:t>1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072C93">
        <w:rPr>
          <w:rFonts w:ascii="Segoe UI" w:hAnsi="Segoe UI" w:cs="Segoe UI"/>
          <w:sz w:val="20"/>
          <w:szCs w:val="20"/>
        </w:rPr>
        <w:t>89</w:t>
      </w:r>
      <w:r w:rsidR="00B40FC1">
        <w:rPr>
          <w:rFonts w:ascii="Segoe UI" w:hAnsi="Segoe UI" w:cs="Segoe UI"/>
          <w:sz w:val="20"/>
          <w:szCs w:val="20"/>
        </w:rPr>
        <w:t>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. </w:t>
      </w:r>
      <w:r w:rsidR="00B84F04">
        <w:rPr>
          <w:rFonts w:ascii="Segoe UI" w:hAnsi="Segoe UI" w:cs="Segoe UI"/>
          <w:sz w:val="20"/>
          <w:szCs w:val="20"/>
        </w:rPr>
        <w:t>Despite lower interaction levels, adults reported higher rates of online risk (</w:t>
      </w:r>
      <w:r w:rsidR="00072C93">
        <w:rPr>
          <w:rFonts w:ascii="Segoe UI" w:hAnsi="Segoe UI" w:cs="Segoe UI"/>
          <w:sz w:val="20"/>
          <w:szCs w:val="20"/>
        </w:rPr>
        <w:t>68</w:t>
      </w:r>
      <w:r w:rsidR="00B84F04">
        <w:rPr>
          <w:rFonts w:ascii="Segoe UI" w:hAnsi="Segoe UI" w:cs="Segoe UI"/>
          <w:sz w:val="20"/>
          <w:szCs w:val="20"/>
        </w:rPr>
        <w:t xml:space="preserve">%, </w:t>
      </w:r>
      <w:r w:rsidR="00072C93">
        <w:rPr>
          <w:rFonts w:ascii="Segoe UI" w:hAnsi="Segoe UI" w:cs="Segoe UI"/>
          <w:sz w:val="20"/>
          <w:szCs w:val="20"/>
        </w:rPr>
        <w:t>5</w:t>
      </w:r>
      <w:r w:rsidR="00B84F04">
        <w:rPr>
          <w:rFonts w:ascii="Segoe UI" w:hAnsi="Segoe UI" w:cs="Segoe UI"/>
          <w:sz w:val="20"/>
          <w:szCs w:val="20"/>
        </w:rPr>
        <w:t xml:space="preserve">1%) than youth. </w:t>
      </w:r>
      <w:r w:rsidR="00072C93" w:rsidRPr="00072C93">
        <w:rPr>
          <w:rFonts w:ascii="Segoe UI" w:hAnsi="Segoe UI" w:cs="Segoe UI"/>
          <w:sz w:val="20"/>
          <w:szCs w:val="20"/>
        </w:rPr>
        <w:t>Youth reported higher incidence of risks among family and friends (</w:t>
      </w:r>
      <w:r w:rsidR="00072C93">
        <w:rPr>
          <w:rFonts w:ascii="Segoe UI" w:hAnsi="Segoe UI" w:cs="Segoe UI"/>
          <w:sz w:val="20"/>
          <w:szCs w:val="20"/>
        </w:rPr>
        <w:t>49</w:t>
      </w:r>
      <w:r w:rsidR="00072C93" w:rsidRPr="00072C93">
        <w:rPr>
          <w:rFonts w:ascii="Segoe UI" w:hAnsi="Segoe UI" w:cs="Segoe UI"/>
          <w:sz w:val="20"/>
          <w:szCs w:val="20"/>
        </w:rPr>
        <w:t xml:space="preserve">%, </w:t>
      </w:r>
      <w:r w:rsidR="00072C93">
        <w:rPr>
          <w:rFonts w:ascii="Segoe UI" w:hAnsi="Segoe UI" w:cs="Segoe UI"/>
          <w:sz w:val="20"/>
          <w:szCs w:val="20"/>
        </w:rPr>
        <w:t>27</w:t>
      </w:r>
      <w:r w:rsidR="007D0457">
        <w:rPr>
          <w:rFonts w:ascii="Segoe UI" w:hAnsi="Segoe UI" w:cs="Segoe UI"/>
          <w:sz w:val="20"/>
          <w:szCs w:val="20"/>
        </w:rPr>
        <w:t>%) than adults. This suggested</w:t>
      </w:r>
      <w:r w:rsidR="00072C93" w:rsidRPr="00072C93">
        <w:rPr>
          <w:rFonts w:ascii="Segoe UI" w:hAnsi="Segoe UI" w:cs="Segoe UI"/>
          <w:sz w:val="20"/>
          <w:szCs w:val="20"/>
        </w:rPr>
        <w:t xml:space="preserve"> that youth were more willing to share their negative online experiences and may have underreported their online risk exposure.</w:t>
      </w:r>
    </w:p>
    <w:p w14:paraId="7B4C21F5" w14:textId="0B210389" w:rsidR="00F17F51" w:rsidRDefault="00E6439E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26792">
        <w:rPr>
          <w:noProof/>
        </w:rPr>
        <w:drawing>
          <wp:anchor distT="0" distB="0" distL="114300" distR="114300" simplePos="0" relativeHeight="251736064" behindDoc="0" locked="0" layoutInCell="1" allowOverlap="1" wp14:anchorId="1CD5747F" wp14:editId="5804D307">
            <wp:simplePos x="0" y="0"/>
            <wp:positionH relativeFrom="page">
              <wp:posOffset>4113530</wp:posOffset>
            </wp:positionH>
            <wp:positionV relativeFrom="paragraph">
              <wp:posOffset>938530</wp:posOffset>
            </wp:positionV>
            <wp:extent cx="3392170" cy="24593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A8C" w:rsidRPr="00DD4A8C">
        <w:rPr>
          <w:noProof/>
        </w:rPr>
        <w:drawing>
          <wp:anchor distT="0" distB="0" distL="114300" distR="114300" simplePos="0" relativeHeight="251730944" behindDoc="0" locked="0" layoutInCell="1" allowOverlap="1" wp14:anchorId="76F13F7C" wp14:editId="37377872">
            <wp:simplePos x="0" y="0"/>
            <wp:positionH relativeFrom="column">
              <wp:posOffset>-191770</wp:posOffset>
            </wp:positionH>
            <wp:positionV relativeFrom="paragraph">
              <wp:posOffset>965200</wp:posOffset>
            </wp:positionV>
            <wp:extent cx="3392424" cy="22951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C2B">
        <w:rPr>
          <w:rFonts w:ascii="Segoe UI" w:hAnsi="Segoe UI" w:cs="Segoe UI"/>
          <w:sz w:val="20"/>
          <w:szCs w:val="20"/>
        </w:rPr>
        <w:t>Youth were less confident than adults in managing uncivil behavior, (</w:t>
      </w:r>
      <w:r w:rsidR="00757141">
        <w:rPr>
          <w:rFonts w:ascii="Segoe UI" w:hAnsi="Segoe UI" w:cs="Segoe UI"/>
          <w:sz w:val="20"/>
          <w:szCs w:val="20"/>
        </w:rPr>
        <w:t>34</w:t>
      </w:r>
      <w:r w:rsidR="00716C2B">
        <w:rPr>
          <w:rFonts w:ascii="Segoe UI" w:hAnsi="Segoe UI" w:cs="Segoe UI"/>
          <w:sz w:val="20"/>
          <w:szCs w:val="20"/>
        </w:rPr>
        <w:t xml:space="preserve">%, </w:t>
      </w:r>
      <w:r w:rsidR="00757141">
        <w:rPr>
          <w:rFonts w:ascii="Segoe UI" w:hAnsi="Segoe UI" w:cs="Segoe UI"/>
          <w:sz w:val="20"/>
          <w:szCs w:val="20"/>
        </w:rPr>
        <w:t>27</w:t>
      </w:r>
      <w:r w:rsidR="00716C2B">
        <w:rPr>
          <w:rFonts w:ascii="Segoe UI" w:hAnsi="Segoe UI" w:cs="Segoe UI"/>
          <w:sz w:val="20"/>
          <w:szCs w:val="20"/>
        </w:rPr>
        <w:t xml:space="preserve">%) but youth were </w:t>
      </w:r>
      <w:r w:rsidR="007804D8">
        <w:rPr>
          <w:rFonts w:ascii="Segoe UI" w:hAnsi="Segoe UI" w:cs="Segoe UI"/>
          <w:sz w:val="20"/>
          <w:szCs w:val="20"/>
        </w:rPr>
        <w:t>m</w:t>
      </w:r>
      <w:r w:rsidR="00716C2B">
        <w:rPr>
          <w:rFonts w:ascii="Segoe UI" w:hAnsi="Segoe UI" w:cs="Segoe UI"/>
          <w:sz w:val="20"/>
          <w:szCs w:val="20"/>
        </w:rPr>
        <w:t>ore sure of themselves about where to get help (</w:t>
      </w:r>
      <w:r w:rsidR="007804D8">
        <w:rPr>
          <w:rFonts w:ascii="Segoe UI" w:hAnsi="Segoe UI" w:cs="Segoe UI"/>
          <w:sz w:val="20"/>
          <w:szCs w:val="20"/>
        </w:rPr>
        <w:t>37</w:t>
      </w:r>
      <w:r w:rsidR="00716C2B">
        <w:rPr>
          <w:rFonts w:ascii="Segoe UI" w:hAnsi="Segoe UI" w:cs="Segoe UI"/>
          <w:sz w:val="20"/>
          <w:szCs w:val="20"/>
        </w:rPr>
        <w:t>%</w:t>
      </w:r>
      <w:r w:rsidR="00757141">
        <w:rPr>
          <w:rFonts w:ascii="Segoe UI" w:hAnsi="Segoe UI" w:cs="Segoe UI"/>
          <w:sz w:val="20"/>
          <w:szCs w:val="20"/>
        </w:rPr>
        <w:t>, 15</w:t>
      </w:r>
      <w:r w:rsidR="003A0B18">
        <w:rPr>
          <w:rFonts w:ascii="Segoe UI" w:hAnsi="Segoe UI" w:cs="Segoe UI"/>
          <w:sz w:val="20"/>
          <w:szCs w:val="20"/>
        </w:rPr>
        <w:t>%), if</w:t>
      </w:r>
      <w:r w:rsidR="00385A2B">
        <w:rPr>
          <w:rFonts w:ascii="Segoe UI" w:hAnsi="Segoe UI" w:cs="Segoe UI"/>
          <w:sz w:val="20"/>
          <w:szCs w:val="20"/>
        </w:rPr>
        <w:t xml:space="preserve"> needed.</w:t>
      </w:r>
      <w:r w:rsidR="00F17F51">
        <w:rPr>
          <w:rFonts w:ascii="Segoe UI" w:hAnsi="Segoe UI" w:cs="Segoe UI"/>
          <w:sz w:val="20"/>
          <w:szCs w:val="20"/>
        </w:rPr>
        <w:br w:type="column"/>
      </w:r>
      <w:r w:rsidR="00F17F51" w:rsidRPr="00716C2B">
        <w:rPr>
          <w:rFonts w:ascii="Segoe UI" w:hAnsi="Segoe UI" w:cs="Segoe UI"/>
          <w:b/>
          <w:sz w:val="20"/>
          <w:szCs w:val="20"/>
        </w:rPr>
        <w:t>G</w:t>
      </w:r>
      <w:r w:rsidR="00F17F51" w:rsidRPr="00F74E84">
        <w:rPr>
          <w:rFonts w:ascii="Segoe UI" w:hAnsi="Segoe UI" w:cs="Segoe UI"/>
          <w:b/>
          <w:sz w:val="20"/>
          <w:szCs w:val="20"/>
        </w:rPr>
        <w:t>ender</w:t>
      </w:r>
      <w:r w:rsidR="00F17F51">
        <w:rPr>
          <w:rFonts w:ascii="Segoe UI" w:hAnsi="Segoe UI" w:cs="Segoe UI"/>
          <w:sz w:val="20"/>
          <w:szCs w:val="20"/>
        </w:rPr>
        <w:t>:</w:t>
      </w:r>
      <w:r w:rsidR="00F17F51"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F17F51">
        <w:rPr>
          <w:rFonts w:ascii="Segoe UI" w:hAnsi="Segoe UI" w:cs="Segoe UI"/>
          <w:sz w:val="20"/>
          <w:szCs w:val="20"/>
        </w:rPr>
        <w:t xml:space="preserve">reported </w:t>
      </w:r>
      <w:r w:rsidR="00823F17">
        <w:rPr>
          <w:rFonts w:ascii="Segoe UI" w:hAnsi="Segoe UI" w:cs="Segoe UI"/>
          <w:sz w:val="20"/>
          <w:szCs w:val="20"/>
        </w:rPr>
        <w:t>higher exposure to risks than females (</w:t>
      </w:r>
      <w:r w:rsidR="00F26792">
        <w:rPr>
          <w:rFonts w:ascii="Segoe UI" w:hAnsi="Segoe UI" w:cs="Segoe UI"/>
          <w:sz w:val="20"/>
          <w:szCs w:val="20"/>
        </w:rPr>
        <w:t>6</w:t>
      </w:r>
      <w:r w:rsidR="00823F17">
        <w:rPr>
          <w:rFonts w:ascii="Segoe UI" w:hAnsi="Segoe UI" w:cs="Segoe UI"/>
          <w:sz w:val="20"/>
          <w:szCs w:val="20"/>
        </w:rPr>
        <w:t>5%, 5</w:t>
      </w:r>
      <w:r w:rsidR="00F26792">
        <w:rPr>
          <w:rFonts w:ascii="Segoe UI" w:hAnsi="Segoe UI" w:cs="Segoe UI"/>
          <w:sz w:val="20"/>
          <w:szCs w:val="20"/>
        </w:rPr>
        <w:t>5</w:t>
      </w:r>
      <w:r w:rsidR="00823F17">
        <w:rPr>
          <w:rFonts w:ascii="Segoe UI" w:hAnsi="Segoe UI" w:cs="Segoe UI"/>
          <w:sz w:val="20"/>
          <w:szCs w:val="20"/>
        </w:rPr>
        <w:t>%). All categories of risk were higher for males led by 1</w:t>
      </w:r>
      <w:r w:rsidR="00F26792">
        <w:rPr>
          <w:rFonts w:ascii="Segoe UI" w:hAnsi="Segoe UI" w:cs="Segoe UI"/>
          <w:sz w:val="20"/>
          <w:szCs w:val="20"/>
        </w:rPr>
        <w:t>2-</w:t>
      </w:r>
      <w:r w:rsidR="00823F17">
        <w:rPr>
          <w:rFonts w:ascii="Segoe UI" w:hAnsi="Segoe UI" w:cs="Segoe UI"/>
          <w:sz w:val="20"/>
          <w:szCs w:val="20"/>
        </w:rPr>
        <w:t>point difference on Sexual risks (</w:t>
      </w:r>
      <w:r w:rsidR="00F26792">
        <w:rPr>
          <w:rFonts w:ascii="Segoe UI" w:hAnsi="Segoe UI" w:cs="Segoe UI"/>
          <w:sz w:val="20"/>
          <w:szCs w:val="20"/>
        </w:rPr>
        <w:t>36</w:t>
      </w:r>
      <w:r w:rsidR="00823F17">
        <w:rPr>
          <w:rFonts w:ascii="Segoe UI" w:hAnsi="Segoe UI" w:cs="Segoe UI"/>
          <w:sz w:val="20"/>
          <w:szCs w:val="20"/>
        </w:rPr>
        <w:t>%, 2</w:t>
      </w:r>
      <w:r w:rsidR="00F26792">
        <w:rPr>
          <w:rFonts w:ascii="Segoe UI" w:hAnsi="Segoe UI" w:cs="Segoe UI"/>
          <w:sz w:val="20"/>
          <w:szCs w:val="20"/>
        </w:rPr>
        <w:t>4</w:t>
      </w:r>
      <w:r w:rsidR="00823F17">
        <w:rPr>
          <w:rFonts w:ascii="Segoe UI" w:hAnsi="Segoe UI" w:cs="Segoe UI"/>
          <w:sz w:val="20"/>
          <w:szCs w:val="20"/>
        </w:rPr>
        <w:t>%).</w:t>
      </w:r>
    </w:p>
    <w:p w14:paraId="32BFB029" w14:textId="098DDDE4" w:rsidR="00F17F51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more likely to have </w:t>
      </w:r>
      <w:r w:rsidR="00F26792">
        <w:rPr>
          <w:rFonts w:ascii="Segoe UI" w:hAnsi="Segoe UI" w:cs="Segoe UI"/>
          <w:sz w:val="20"/>
          <w:szCs w:val="20"/>
        </w:rPr>
        <w:t>acted</w:t>
      </w:r>
      <w:r>
        <w:rPr>
          <w:rFonts w:ascii="Segoe UI" w:hAnsi="Segoe UI" w:cs="Segoe UI"/>
          <w:sz w:val="20"/>
          <w:szCs w:val="20"/>
        </w:rPr>
        <w:t xml:space="preserve"> (</w:t>
      </w:r>
      <w:r w:rsidR="00F26792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3%, </w:t>
      </w:r>
      <w:r w:rsidR="00F26792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7%) </w:t>
      </w:r>
      <w:r w:rsidR="00F26792">
        <w:rPr>
          <w:rFonts w:ascii="Segoe UI" w:hAnsi="Segoe UI" w:cs="Segoe UI"/>
          <w:sz w:val="20"/>
          <w:szCs w:val="20"/>
        </w:rPr>
        <w:t xml:space="preserve">in response to an online risk but </w:t>
      </w:r>
      <w:r>
        <w:rPr>
          <w:rFonts w:ascii="Segoe UI" w:hAnsi="Segoe UI" w:cs="Segoe UI"/>
          <w:sz w:val="20"/>
          <w:szCs w:val="20"/>
        </w:rPr>
        <w:t xml:space="preserve">felt </w:t>
      </w:r>
      <w:r w:rsidR="00F26792">
        <w:rPr>
          <w:rFonts w:ascii="Segoe UI" w:hAnsi="Segoe UI" w:cs="Segoe UI"/>
          <w:sz w:val="20"/>
          <w:szCs w:val="20"/>
        </w:rPr>
        <w:t>less</w:t>
      </w:r>
      <w:r>
        <w:rPr>
          <w:rFonts w:ascii="Segoe UI" w:hAnsi="Segoe UI" w:cs="Segoe UI"/>
          <w:sz w:val="20"/>
          <w:szCs w:val="20"/>
        </w:rPr>
        <w:t xml:space="preserve"> confident in managing risks</w:t>
      </w:r>
      <w:r w:rsidR="00F26792">
        <w:rPr>
          <w:rFonts w:ascii="Segoe UI" w:hAnsi="Segoe UI" w:cs="Segoe UI"/>
          <w:sz w:val="20"/>
          <w:szCs w:val="20"/>
        </w:rPr>
        <w:t xml:space="preserve"> (25%, 36%) than males.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7ED5EDFB" w14:textId="60C8075D" w:rsidR="00F17F51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F17F51" w:rsidSect="000B2B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Males </w:t>
      </w:r>
      <w:r w:rsidR="00F26792">
        <w:rPr>
          <w:rFonts w:ascii="Segoe UI" w:hAnsi="Segoe UI" w:cs="Segoe UI"/>
          <w:sz w:val="20"/>
          <w:szCs w:val="20"/>
        </w:rPr>
        <w:t>and females shared a similar outlook for the future of civility and personal safety online.</w:t>
      </w:r>
    </w:p>
    <w:p w14:paraId="2BC11ED7" w14:textId="10F46706" w:rsidR="00716C2B" w:rsidRDefault="00FF06C2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F06C2">
        <w:rPr>
          <w:rFonts w:ascii="Segoe UI" w:hAnsi="Segoe UI" w:cs="Segoe UI"/>
          <w:sz w:val="20"/>
          <w:szCs w:val="20"/>
        </w:rPr>
        <w:lastRenderedPageBreak/>
        <w:t xml:space="preserve"> </w:t>
      </w:r>
      <w:r w:rsidR="00D130F8">
        <w:rPr>
          <w:rFonts w:ascii="Segoe UI" w:hAnsi="Segoe UI" w:cs="Segoe UI"/>
          <w:sz w:val="20"/>
          <w:szCs w:val="20"/>
        </w:rPr>
        <w:br w:type="column"/>
      </w:r>
    </w:p>
    <w:p w14:paraId="56AEA64F" w14:textId="15C6C7CD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30D3F" w14:textId="77777777" w:rsidR="009300F1" w:rsidRDefault="009300F1" w:rsidP="00E36286">
      <w:pPr>
        <w:spacing w:after="0" w:line="240" w:lineRule="auto"/>
      </w:pPr>
      <w:r>
        <w:separator/>
      </w:r>
    </w:p>
  </w:endnote>
  <w:endnote w:type="continuationSeparator" w:id="0">
    <w:p w14:paraId="156A18F2" w14:textId="77777777" w:rsidR="009300F1" w:rsidRDefault="009300F1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5005F272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A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EC32" w14:textId="77777777" w:rsidR="009300F1" w:rsidRDefault="009300F1" w:rsidP="00E36286">
      <w:pPr>
        <w:spacing w:after="0" w:line="240" w:lineRule="auto"/>
      </w:pPr>
      <w:r>
        <w:separator/>
      </w:r>
    </w:p>
  </w:footnote>
  <w:footnote w:type="continuationSeparator" w:id="0">
    <w:p w14:paraId="786289D3" w14:textId="77777777" w:rsidR="009300F1" w:rsidRDefault="009300F1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.5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4873"/>
    <w:rsid w:val="00007A25"/>
    <w:rsid w:val="000200BC"/>
    <w:rsid w:val="00021BD6"/>
    <w:rsid w:val="00025313"/>
    <w:rsid w:val="000336F3"/>
    <w:rsid w:val="0004561C"/>
    <w:rsid w:val="00056C88"/>
    <w:rsid w:val="0005731D"/>
    <w:rsid w:val="000718F8"/>
    <w:rsid w:val="00072C93"/>
    <w:rsid w:val="00075F45"/>
    <w:rsid w:val="000769CC"/>
    <w:rsid w:val="000773EC"/>
    <w:rsid w:val="00077835"/>
    <w:rsid w:val="000816D8"/>
    <w:rsid w:val="0009486D"/>
    <w:rsid w:val="00095E0A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142EF"/>
    <w:rsid w:val="001162A8"/>
    <w:rsid w:val="00116AC7"/>
    <w:rsid w:val="001204AA"/>
    <w:rsid w:val="00120A06"/>
    <w:rsid w:val="001413D2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A3839"/>
    <w:rsid w:val="001B2BDB"/>
    <w:rsid w:val="001C2075"/>
    <w:rsid w:val="001C2148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12827"/>
    <w:rsid w:val="00217AD8"/>
    <w:rsid w:val="002253DB"/>
    <w:rsid w:val="00230CCF"/>
    <w:rsid w:val="00236FFF"/>
    <w:rsid w:val="00244A86"/>
    <w:rsid w:val="00246815"/>
    <w:rsid w:val="00252D79"/>
    <w:rsid w:val="002532DD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38DE"/>
    <w:rsid w:val="002C4442"/>
    <w:rsid w:val="002E1321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390D"/>
    <w:rsid w:val="00340DB8"/>
    <w:rsid w:val="00344627"/>
    <w:rsid w:val="0034618A"/>
    <w:rsid w:val="00346661"/>
    <w:rsid w:val="00347760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7561D"/>
    <w:rsid w:val="00385A2B"/>
    <w:rsid w:val="003863D0"/>
    <w:rsid w:val="00390DD1"/>
    <w:rsid w:val="003A0B18"/>
    <w:rsid w:val="003A7A74"/>
    <w:rsid w:val="003B1776"/>
    <w:rsid w:val="003B1AB3"/>
    <w:rsid w:val="003B3C9D"/>
    <w:rsid w:val="003C0AA3"/>
    <w:rsid w:val="003C45C9"/>
    <w:rsid w:val="003C5762"/>
    <w:rsid w:val="003C5B56"/>
    <w:rsid w:val="003C5C32"/>
    <w:rsid w:val="003C71AA"/>
    <w:rsid w:val="003E1029"/>
    <w:rsid w:val="003E30EF"/>
    <w:rsid w:val="003E3604"/>
    <w:rsid w:val="003E72A8"/>
    <w:rsid w:val="003F430D"/>
    <w:rsid w:val="003F5DA1"/>
    <w:rsid w:val="003F739E"/>
    <w:rsid w:val="00401D8C"/>
    <w:rsid w:val="00407CA3"/>
    <w:rsid w:val="00415524"/>
    <w:rsid w:val="00416F79"/>
    <w:rsid w:val="00421D39"/>
    <w:rsid w:val="00426BDC"/>
    <w:rsid w:val="004278A7"/>
    <w:rsid w:val="004337AB"/>
    <w:rsid w:val="004343E4"/>
    <w:rsid w:val="00437F90"/>
    <w:rsid w:val="00442A8F"/>
    <w:rsid w:val="004522FD"/>
    <w:rsid w:val="00453ACD"/>
    <w:rsid w:val="004609BF"/>
    <w:rsid w:val="004623F7"/>
    <w:rsid w:val="0046598A"/>
    <w:rsid w:val="00466C6F"/>
    <w:rsid w:val="004673AB"/>
    <w:rsid w:val="004726D6"/>
    <w:rsid w:val="0047282D"/>
    <w:rsid w:val="004848DF"/>
    <w:rsid w:val="00485BF4"/>
    <w:rsid w:val="004A342D"/>
    <w:rsid w:val="004A4F7E"/>
    <w:rsid w:val="004B0BBF"/>
    <w:rsid w:val="004C084C"/>
    <w:rsid w:val="004C78EF"/>
    <w:rsid w:val="004D1077"/>
    <w:rsid w:val="004D3C06"/>
    <w:rsid w:val="004E0D51"/>
    <w:rsid w:val="004E4982"/>
    <w:rsid w:val="004E5379"/>
    <w:rsid w:val="004F13F8"/>
    <w:rsid w:val="004F470F"/>
    <w:rsid w:val="00503AF8"/>
    <w:rsid w:val="00525DA5"/>
    <w:rsid w:val="00527718"/>
    <w:rsid w:val="005309C7"/>
    <w:rsid w:val="005343DB"/>
    <w:rsid w:val="00534E0A"/>
    <w:rsid w:val="00535E51"/>
    <w:rsid w:val="00541FC3"/>
    <w:rsid w:val="00542F1F"/>
    <w:rsid w:val="00552A1D"/>
    <w:rsid w:val="00553AC8"/>
    <w:rsid w:val="00554207"/>
    <w:rsid w:val="005627AD"/>
    <w:rsid w:val="005659CF"/>
    <w:rsid w:val="005715A2"/>
    <w:rsid w:val="005730BA"/>
    <w:rsid w:val="00582DDF"/>
    <w:rsid w:val="005840B3"/>
    <w:rsid w:val="00585231"/>
    <w:rsid w:val="005869E7"/>
    <w:rsid w:val="00587B97"/>
    <w:rsid w:val="0059127C"/>
    <w:rsid w:val="005950CC"/>
    <w:rsid w:val="00597E1B"/>
    <w:rsid w:val="005A0679"/>
    <w:rsid w:val="005A591C"/>
    <w:rsid w:val="005B076D"/>
    <w:rsid w:val="005B3FE3"/>
    <w:rsid w:val="005B4764"/>
    <w:rsid w:val="005B5F67"/>
    <w:rsid w:val="005C01B5"/>
    <w:rsid w:val="005C1C1F"/>
    <w:rsid w:val="005C7EB5"/>
    <w:rsid w:val="005D38E5"/>
    <w:rsid w:val="005D78B5"/>
    <w:rsid w:val="005F2142"/>
    <w:rsid w:val="005F2D70"/>
    <w:rsid w:val="005F5479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62DDD"/>
    <w:rsid w:val="00663E62"/>
    <w:rsid w:val="00667262"/>
    <w:rsid w:val="006743C3"/>
    <w:rsid w:val="00674CB0"/>
    <w:rsid w:val="00675AF6"/>
    <w:rsid w:val="00675B91"/>
    <w:rsid w:val="00676A6F"/>
    <w:rsid w:val="006A2629"/>
    <w:rsid w:val="006A36CF"/>
    <w:rsid w:val="006A44E4"/>
    <w:rsid w:val="006A463A"/>
    <w:rsid w:val="006B52C9"/>
    <w:rsid w:val="006B784D"/>
    <w:rsid w:val="006C0575"/>
    <w:rsid w:val="006C26A8"/>
    <w:rsid w:val="006C36D4"/>
    <w:rsid w:val="006C600D"/>
    <w:rsid w:val="006C65CF"/>
    <w:rsid w:val="006D2934"/>
    <w:rsid w:val="006D4A80"/>
    <w:rsid w:val="006E0340"/>
    <w:rsid w:val="006E5D8D"/>
    <w:rsid w:val="006E6A7B"/>
    <w:rsid w:val="006F1FC8"/>
    <w:rsid w:val="006F464C"/>
    <w:rsid w:val="006F75B0"/>
    <w:rsid w:val="007009E5"/>
    <w:rsid w:val="007066F1"/>
    <w:rsid w:val="00706F16"/>
    <w:rsid w:val="00711186"/>
    <w:rsid w:val="007119B6"/>
    <w:rsid w:val="00716C2B"/>
    <w:rsid w:val="00717BB6"/>
    <w:rsid w:val="00722139"/>
    <w:rsid w:val="007242A3"/>
    <w:rsid w:val="00726DEC"/>
    <w:rsid w:val="0072738F"/>
    <w:rsid w:val="00727A22"/>
    <w:rsid w:val="00735985"/>
    <w:rsid w:val="00742381"/>
    <w:rsid w:val="007444B5"/>
    <w:rsid w:val="007458A7"/>
    <w:rsid w:val="007461F5"/>
    <w:rsid w:val="00754EDE"/>
    <w:rsid w:val="007569ED"/>
    <w:rsid w:val="00757141"/>
    <w:rsid w:val="007724C4"/>
    <w:rsid w:val="00773CB5"/>
    <w:rsid w:val="00775661"/>
    <w:rsid w:val="007804D8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AB6"/>
    <w:rsid w:val="007D0457"/>
    <w:rsid w:val="007D1968"/>
    <w:rsid w:val="007D5E2F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39A4"/>
    <w:rsid w:val="00897ED2"/>
    <w:rsid w:val="008A37C8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F1475"/>
    <w:rsid w:val="008F4989"/>
    <w:rsid w:val="008F4E12"/>
    <w:rsid w:val="008F7230"/>
    <w:rsid w:val="00901E34"/>
    <w:rsid w:val="00901FA8"/>
    <w:rsid w:val="00911A62"/>
    <w:rsid w:val="009128FD"/>
    <w:rsid w:val="00914459"/>
    <w:rsid w:val="00917A34"/>
    <w:rsid w:val="00920155"/>
    <w:rsid w:val="009203CB"/>
    <w:rsid w:val="00921350"/>
    <w:rsid w:val="00924176"/>
    <w:rsid w:val="009259A4"/>
    <w:rsid w:val="009300F1"/>
    <w:rsid w:val="009300FC"/>
    <w:rsid w:val="0093151C"/>
    <w:rsid w:val="0094038B"/>
    <w:rsid w:val="00941E6C"/>
    <w:rsid w:val="0095185B"/>
    <w:rsid w:val="00951A0D"/>
    <w:rsid w:val="009545D7"/>
    <w:rsid w:val="00955FF1"/>
    <w:rsid w:val="00957F78"/>
    <w:rsid w:val="009602E8"/>
    <w:rsid w:val="009715DE"/>
    <w:rsid w:val="00971D1E"/>
    <w:rsid w:val="00974289"/>
    <w:rsid w:val="009807AE"/>
    <w:rsid w:val="00992057"/>
    <w:rsid w:val="00997F73"/>
    <w:rsid w:val="009A0800"/>
    <w:rsid w:val="009A24A8"/>
    <w:rsid w:val="009A452F"/>
    <w:rsid w:val="009C3AF6"/>
    <w:rsid w:val="009E4D18"/>
    <w:rsid w:val="009E56FC"/>
    <w:rsid w:val="009F1C11"/>
    <w:rsid w:val="009F5123"/>
    <w:rsid w:val="00A003F7"/>
    <w:rsid w:val="00A04953"/>
    <w:rsid w:val="00A05B53"/>
    <w:rsid w:val="00A14AF4"/>
    <w:rsid w:val="00A2355C"/>
    <w:rsid w:val="00A2404D"/>
    <w:rsid w:val="00A30F51"/>
    <w:rsid w:val="00A31FE7"/>
    <w:rsid w:val="00A32D22"/>
    <w:rsid w:val="00A33EB6"/>
    <w:rsid w:val="00A35685"/>
    <w:rsid w:val="00A3706B"/>
    <w:rsid w:val="00A41ED7"/>
    <w:rsid w:val="00A437AC"/>
    <w:rsid w:val="00A52427"/>
    <w:rsid w:val="00A527DD"/>
    <w:rsid w:val="00A56D1D"/>
    <w:rsid w:val="00A61468"/>
    <w:rsid w:val="00A61C40"/>
    <w:rsid w:val="00A649EF"/>
    <w:rsid w:val="00A72858"/>
    <w:rsid w:val="00A8175E"/>
    <w:rsid w:val="00A8657B"/>
    <w:rsid w:val="00AA0953"/>
    <w:rsid w:val="00AA20C0"/>
    <w:rsid w:val="00AA536A"/>
    <w:rsid w:val="00AA6731"/>
    <w:rsid w:val="00AB0654"/>
    <w:rsid w:val="00AB065E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6E2F"/>
    <w:rsid w:val="00AE3901"/>
    <w:rsid w:val="00AE3CC6"/>
    <w:rsid w:val="00AE4328"/>
    <w:rsid w:val="00AE63F9"/>
    <w:rsid w:val="00AF4357"/>
    <w:rsid w:val="00AF4CFF"/>
    <w:rsid w:val="00AF5D50"/>
    <w:rsid w:val="00AF6842"/>
    <w:rsid w:val="00AF7CD3"/>
    <w:rsid w:val="00B02E86"/>
    <w:rsid w:val="00B035C4"/>
    <w:rsid w:val="00B03F5C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E4"/>
    <w:rsid w:val="00B8335B"/>
    <w:rsid w:val="00B84F04"/>
    <w:rsid w:val="00B9077E"/>
    <w:rsid w:val="00B92079"/>
    <w:rsid w:val="00B96CD4"/>
    <w:rsid w:val="00BA4A04"/>
    <w:rsid w:val="00BB7986"/>
    <w:rsid w:val="00BC1DE4"/>
    <w:rsid w:val="00BC3ECA"/>
    <w:rsid w:val="00BD0DA1"/>
    <w:rsid w:val="00BD15F8"/>
    <w:rsid w:val="00BD1EF0"/>
    <w:rsid w:val="00BD29F5"/>
    <w:rsid w:val="00BD495E"/>
    <w:rsid w:val="00BD5909"/>
    <w:rsid w:val="00BD74DC"/>
    <w:rsid w:val="00BE1835"/>
    <w:rsid w:val="00BF5800"/>
    <w:rsid w:val="00C00B43"/>
    <w:rsid w:val="00C0631E"/>
    <w:rsid w:val="00C078BD"/>
    <w:rsid w:val="00C12BD1"/>
    <w:rsid w:val="00C20775"/>
    <w:rsid w:val="00C211B3"/>
    <w:rsid w:val="00C25D9A"/>
    <w:rsid w:val="00C26CEA"/>
    <w:rsid w:val="00C305D8"/>
    <w:rsid w:val="00C31158"/>
    <w:rsid w:val="00C3241C"/>
    <w:rsid w:val="00C35EBF"/>
    <w:rsid w:val="00C408CB"/>
    <w:rsid w:val="00C535AE"/>
    <w:rsid w:val="00C54023"/>
    <w:rsid w:val="00C554EC"/>
    <w:rsid w:val="00C57F73"/>
    <w:rsid w:val="00C6580E"/>
    <w:rsid w:val="00C65AF4"/>
    <w:rsid w:val="00C662C4"/>
    <w:rsid w:val="00C66758"/>
    <w:rsid w:val="00C66A0E"/>
    <w:rsid w:val="00C7615B"/>
    <w:rsid w:val="00C9124F"/>
    <w:rsid w:val="00C92F21"/>
    <w:rsid w:val="00C9650A"/>
    <w:rsid w:val="00C973E0"/>
    <w:rsid w:val="00CA2E0C"/>
    <w:rsid w:val="00CA6682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D002AC"/>
    <w:rsid w:val="00D01A9F"/>
    <w:rsid w:val="00D02699"/>
    <w:rsid w:val="00D0376D"/>
    <w:rsid w:val="00D130F8"/>
    <w:rsid w:val="00D2486A"/>
    <w:rsid w:val="00D274DF"/>
    <w:rsid w:val="00D363F7"/>
    <w:rsid w:val="00D36725"/>
    <w:rsid w:val="00D37935"/>
    <w:rsid w:val="00D4265B"/>
    <w:rsid w:val="00D43591"/>
    <w:rsid w:val="00D5134E"/>
    <w:rsid w:val="00D5679E"/>
    <w:rsid w:val="00D62561"/>
    <w:rsid w:val="00D65822"/>
    <w:rsid w:val="00D72482"/>
    <w:rsid w:val="00D72F25"/>
    <w:rsid w:val="00D73B91"/>
    <w:rsid w:val="00D824A0"/>
    <w:rsid w:val="00D86B6D"/>
    <w:rsid w:val="00D94411"/>
    <w:rsid w:val="00D97575"/>
    <w:rsid w:val="00DA04BE"/>
    <w:rsid w:val="00DA0CAD"/>
    <w:rsid w:val="00DA2557"/>
    <w:rsid w:val="00DA7912"/>
    <w:rsid w:val="00DB0C59"/>
    <w:rsid w:val="00DB21FD"/>
    <w:rsid w:val="00DB232F"/>
    <w:rsid w:val="00DB2BC9"/>
    <w:rsid w:val="00DB3A9E"/>
    <w:rsid w:val="00DC1E61"/>
    <w:rsid w:val="00DC3781"/>
    <w:rsid w:val="00DC3B42"/>
    <w:rsid w:val="00DC42E2"/>
    <w:rsid w:val="00DC44AA"/>
    <w:rsid w:val="00DC6BE2"/>
    <w:rsid w:val="00DD3898"/>
    <w:rsid w:val="00DD4A8C"/>
    <w:rsid w:val="00DD7757"/>
    <w:rsid w:val="00DE02A8"/>
    <w:rsid w:val="00DE1696"/>
    <w:rsid w:val="00DE1D72"/>
    <w:rsid w:val="00DE4079"/>
    <w:rsid w:val="00DE4580"/>
    <w:rsid w:val="00DE70E0"/>
    <w:rsid w:val="00DF509C"/>
    <w:rsid w:val="00E0435D"/>
    <w:rsid w:val="00E0500A"/>
    <w:rsid w:val="00E058F1"/>
    <w:rsid w:val="00E05C99"/>
    <w:rsid w:val="00E06D0C"/>
    <w:rsid w:val="00E21BF2"/>
    <w:rsid w:val="00E263EE"/>
    <w:rsid w:val="00E34B61"/>
    <w:rsid w:val="00E36286"/>
    <w:rsid w:val="00E6439E"/>
    <w:rsid w:val="00E751FE"/>
    <w:rsid w:val="00E76C94"/>
    <w:rsid w:val="00E773BA"/>
    <w:rsid w:val="00E802F0"/>
    <w:rsid w:val="00E83BE1"/>
    <w:rsid w:val="00E87DB7"/>
    <w:rsid w:val="00E95FB5"/>
    <w:rsid w:val="00E95FCB"/>
    <w:rsid w:val="00E97695"/>
    <w:rsid w:val="00EA2A64"/>
    <w:rsid w:val="00EB33A1"/>
    <w:rsid w:val="00EB6B2C"/>
    <w:rsid w:val="00EC4A9A"/>
    <w:rsid w:val="00EC6F8B"/>
    <w:rsid w:val="00EC709F"/>
    <w:rsid w:val="00EC7164"/>
    <w:rsid w:val="00EC7DA1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7BAC"/>
    <w:rsid w:val="00F1151F"/>
    <w:rsid w:val="00F128BC"/>
    <w:rsid w:val="00F17EA4"/>
    <w:rsid w:val="00F17F51"/>
    <w:rsid w:val="00F22D54"/>
    <w:rsid w:val="00F26792"/>
    <w:rsid w:val="00F2682E"/>
    <w:rsid w:val="00F30298"/>
    <w:rsid w:val="00F31F01"/>
    <w:rsid w:val="00F33E00"/>
    <w:rsid w:val="00F350B0"/>
    <w:rsid w:val="00F3704E"/>
    <w:rsid w:val="00F37ACE"/>
    <w:rsid w:val="00F42899"/>
    <w:rsid w:val="00F60061"/>
    <w:rsid w:val="00F67F2D"/>
    <w:rsid w:val="00F701B9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D8A"/>
    <w:rsid w:val="00FB0E25"/>
    <w:rsid w:val="00FB3F61"/>
    <w:rsid w:val="00FC118E"/>
    <w:rsid w:val="00FC31A5"/>
    <w:rsid w:val="00FC5B57"/>
    <w:rsid w:val="00FD1506"/>
    <w:rsid w:val="00FD3479"/>
    <w:rsid w:val="00FD3F32"/>
    <w:rsid w:val="00FE046A"/>
    <w:rsid w:val="00FE1921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6EDB-A6E7-49E6-AAE6-1AFEA338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2017-01-03T18:06:00Z</dcterms:created>
  <dcterms:modified xsi:type="dcterms:W3CDTF">2017-01-03T18:06:00Z</dcterms:modified>
</cp:coreProperties>
</file>