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17C407AC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1FAC7AEA" w:rsidR="003602B1" w:rsidRDefault="00974818" w:rsidP="0097481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4197B" wp14:editId="4D825F8C">
                                  <wp:extent cx="2484755" cy="532130"/>
                                  <wp:effectExtent l="0" t="0" r="0" b="127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1FAC7AEA" w:rsidR="003602B1" w:rsidRDefault="00974818" w:rsidP="0097481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F4197B" wp14:editId="4D825F8C">
                            <wp:extent cx="2484755" cy="532130"/>
                            <wp:effectExtent l="0" t="0" r="0" b="127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9C3AF6">
        <w:rPr>
          <w:rFonts w:ascii="Segoe UI" w:hAnsi="Segoe UI" w:cs="Segoe UI"/>
          <w:b/>
          <w:sz w:val="32"/>
          <w:szCs w:val="32"/>
        </w:rPr>
        <w:t>China</w:t>
      </w:r>
    </w:p>
    <w:p w14:paraId="42CEBF0C" w14:textId="131BBB7B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4FD193B5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361C54FB" w:rsidR="00DE70E0" w:rsidRDefault="009C3AF6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 wp14:anchorId="67DBA251" wp14:editId="716EBE7D">
            <wp:simplePos x="0" y="0"/>
            <wp:positionH relativeFrom="column">
              <wp:posOffset>3710940</wp:posOffset>
            </wp:positionH>
            <wp:positionV relativeFrom="paragraph">
              <wp:posOffset>10795</wp:posOffset>
            </wp:positionV>
            <wp:extent cx="3392424" cy="2075688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52F74527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D1C209A" w14:textId="39EB7C9B" w:rsidR="00D94411" w:rsidRDefault="00D94411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2A71796C" w:rsidR="00B43178" w:rsidRPr="00F31F01" w:rsidRDefault="009C3AF6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 xml:space="preserve">China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>
        <w:rPr>
          <w:rFonts w:ascii="Segoe UI" w:hAnsi="Segoe UI" w:cs="Segoe UI"/>
          <w:b/>
          <w:sz w:val="28"/>
          <w:szCs w:val="28"/>
        </w:rPr>
        <w:t>8</w:t>
      </w:r>
      <w:r w:rsidRPr="009C3AF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5F8FAF60" w:rsidR="00F91B89" w:rsidRDefault="00F3704E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67%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>
        <w:rPr>
          <w:rFonts w:ascii="Segoe UI" w:hAnsi="Segoe UI" w:cs="Segoe UI"/>
          <w:sz w:val="20"/>
          <w:szCs w:val="20"/>
        </w:rPr>
        <w:t>China</w:t>
      </w:r>
      <w:r w:rsidR="00C973E0">
        <w:rPr>
          <w:rFonts w:ascii="Segoe UI" w:hAnsi="Segoe UI" w:cs="Segoe UI"/>
          <w:sz w:val="20"/>
          <w:szCs w:val="20"/>
        </w:rPr>
        <w:t xml:space="preserve"> </w:t>
      </w:r>
      <w:r w:rsidR="001C2075">
        <w:rPr>
          <w:rFonts w:ascii="Segoe UI" w:hAnsi="Segoe UI" w:cs="Segoe UI"/>
          <w:sz w:val="20"/>
          <w:szCs w:val="20"/>
        </w:rPr>
        <w:t>exceeded</w:t>
      </w:r>
      <w:r w:rsidR="00B7610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>
        <w:rPr>
          <w:rFonts w:ascii="Segoe UI" w:hAnsi="Segoe UI" w:cs="Segoe UI"/>
          <w:sz w:val="20"/>
          <w:szCs w:val="20"/>
        </w:rPr>
        <w:t xml:space="preserve">averages on Reputational and Sexual risks and </w:t>
      </w:r>
      <w:r w:rsidR="00B76105">
        <w:rPr>
          <w:rFonts w:ascii="Segoe UI" w:hAnsi="Segoe UI" w:cs="Segoe UI"/>
          <w:sz w:val="20"/>
          <w:szCs w:val="20"/>
        </w:rPr>
        <w:t xml:space="preserve">was </w:t>
      </w:r>
      <w:r>
        <w:rPr>
          <w:rFonts w:ascii="Segoe UI" w:hAnsi="Segoe UI" w:cs="Segoe UI"/>
          <w:sz w:val="20"/>
          <w:szCs w:val="20"/>
        </w:rPr>
        <w:t>below average on Intrusive risks.</w:t>
      </w:r>
    </w:p>
    <w:p w14:paraId="21CA0B5C" w14:textId="009F80B6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2E719A49" w:rsidR="00CD6852" w:rsidRPr="003863D0" w:rsidRDefault="00CD6852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3E0994E5" w:rsidR="00CD6852" w:rsidRPr="003563A9" w:rsidRDefault="00BD15F8" w:rsidP="00B761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(3</w:t>
      </w:r>
      <w:r w:rsidR="007066F1">
        <w:rPr>
          <w:rFonts w:ascii="Segoe UI" w:hAnsi="Segoe UI" w:cs="Segoe UI"/>
          <w:sz w:val="20"/>
          <w:szCs w:val="20"/>
        </w:rPr>
        <w:t>5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 and had the highest incidence of any risk. </w:t>
      </w:r>
      <w:r w:rsidR="00CF119C">
        <w:rPr>
          <w:rFonts w:ascii="Segoe UI" w:hAnsi="Segoe UI" w:cs="Segoe UI"/>
          <w:sz w:val="20"/>
          <w:szCs w:val="20"/>
        </w:rPr>
        <w:t xml:space="preserve">Intrusive risks were </w:t>
      </w:r>
      <w:r w:rsidR="00AE3901">
        <w:rPr>
          <w:rFonts w:ascii="Segoe UI" w:hAnsi="Segoe UI" w:cs="Segoe UI"/>
          <w:sz w:val="20"/>
          <w:szCs w:val="20"/>
        </w:rPr>
        <w:t xml:space="preserve">significantly </w:t>
      </w:r>
      <w:r w:rsidR="007A1241">
        <w:rPr>
          <w:rFonts w:ascii="Segoe UI" w:hAnsi="Segoe UI" w:cs="Segoe UI"/>
          <w:sz w:val="20"/>
          <w:szCs w:val="20"/>
        </w:rPr>
        <w:t>lower than</w:t>
      </w:r>
      <w:r w:rsidR="00AE3901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the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971D1E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average </w:t>
      </w:r>
      <w:r w:rsidR="00971D1E">
        <w:rPr>
          <w:rFonts w:ascii="Segoe UI" w:hAnsi="Segoe UI" w:cs="Segoe UI"/>
          <w:sz w:val="20"/>
          <w:szCs w:val="20"/>
        </w:rPr>
        <w:t>(4</w:t>
      </w:r>
      <w:r w:rsidR="00914459">
        <w:rPr>
          <w:rFonts w:ascii="Segoe UI" w:hAnsi="Segoe UI" w:cs="Segoe UI"/>
          <w:sz w:val="20"/>
          <w:szCs w:val="20"/>
        </w:rPr>
        <w:t>3</w:t>
      </w:r>
      <w:r w:rsidR="00971D1E">
        <w:rPr>
          <w:rFonts w:ascii="Segoe UI" w:hAnsi="Segoe UI" w:cs="Segoe UI"/>
          <w:sz w:val="20"/>
          <w:szCs w:val="20"/>
        </w:rPr>
        <w:t>%, 51%)</w:t>
      </w:r>
      <w:r w:rsidR="00F87AC8">
        <w:rPr>
          <w:rFonts w:ascii="Segoe UI" w:hAnsi="Segoe UI" w:cs="Segoe UI"/>
          <w:sz w:val="20"/>
          <w:szCs w:val="20"/>
        </w:rPr>
        <w:t>.</w:t>
      </w:r>
    </w:p>
    <w:p w14:paraId="58B88751" w14:textId="4D240CAE" w:rsidR="00314C05" w:rsidRPr="003863D0" w:rsidRDefault="0065056A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6B7C6360" w14:textId="66A28542" w:rsidR="007A1241" w:rsidRPr="007A1241" w:rsidRDefault="00914459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Behavioral</w:t>
      </w:r>
      <w:r w:rsidR="00B6622D">
        <w:rPr>
          <w:rFonts w:ascii="Segoe UI" w:hAnsi="Segoe UI" w:cs="Segoe UI"/>
          <w:sz w:val="20"/>
          <w:szCs w:val="20"/>
        </w:rPr>
        <w:t xml:space="preserve"> </w:t>
      </w:r>
      <w:r w:rsidR="00782CE9">
        <w:rPr>
          <w:rFonts w:ascii="Segoe UI" w:hAnsi="Segoe UI" w:cs="Segoe UI"/>
          <w:sz w:val="20"/>
          <w:szCs w:val="20"/>
        </w:rPr>
        <w:t xml:space="preserve">risks </w:t>
      </w:r>
      <w:r w:rsidR="00B6622D">
        <w:rPr>
          <w:rFonts w:ascii="Segoe UI" w:hAnsi="Segoe UI" w:cs="Segoe UI"/>
          <w:sz w:val="20"/>
          <w:szCs w:val="20"/>
        </w:rPr>
        <w:t>(43%) w</w:t>
      </w:r>
      <w:r w:rsidR="00782CE9">
        <w:rPr>
          <w:rFonts w:ascii="Segoe UI" w:hAnsi="Segoe UI" w:cs="Segoe UI"/>
          <w:sz w:val="20"/>
          <w:szCs w:val="20"/>
        </w:rPr>
        <w:t>ere</w:t>
      </w:r>
      <w:r w:rsidR="00B6622D">
        <w:rPr>
          <w:rFonts w:ascii="Segoe UI" w:hAnsi="Segoe UI" w:cs="Segoe UI"/>
          <w:sz w:val="20"/>
          <w:szCs w:val="20"/>
        </w:rPr>
        <w:t xml:space="preserve"> </w:t>
      </w:r>
      <w:r w:rsidR="003D437A">
        <w:rPr>
          <w:rFonts w:ascii="Segoe UI" w:hAnsi="Segoe UI" w:cs="Segoe UI"/>
          <w:sz w:val="20"/>
          <w:szCs w:val="20"/>
        </w:rPr>
        <w:t>the second most common</w:t>
      </w:r>
      <w:r w:rsidR="00552A1D">
        <w:rPr>
          <w:rFonts w:ascii="Segoe UI" w:hAnsi="Segoe UI" w:cs="Segoe UI"/>
          <w:sz w:val="20"/>
          <w:szCs w:val="20"/>
        </w:rPr>
        <w:t xml:space="preserve"> occurring </w:t>
      </w:r>
      <w:r>
        <w:rPr>
          <w:rFonts w:ascii="Segoe UI" w:hAnsi="Segoe UI" w:cs="Segoe UI"/>
          <w:sz w:val="20"/>
          <w:szCs w:val="20"/>
        </w:rPr>
        <w:t>risk categor</w:t>
      </w:r>
      <w:r w:rsidR="00B6622D">
        <w:rPr>
          <w:rFonts w:ascii="Segoe UI" w:hAnsi="Segoe UI" w:cs="Segoe UI"/>
          <w:sz w:val="20"/>
          <w:szCs w:val="20"/>
        </w:rPr>
        <w:t>y</w:t>
      </w:r>
      <w:r>
        <w:rPr>
          <w:rFonts w:ascii="Segoe UI" w:hAnsi="Segoe UI" w:cs="Segoe UI"/>
          <w:sz w:val="20"/>
          <w:szCs w:val="20"/>
        </w:rPr>
        <w:t xml:space="preserve">. </w:t>
      </w:r>
      <w:r w:rsidR="003D437A">
        <w:rPr>
          <w:rFonts w:ascii="Segoe UI" w:hAnsi="Segoe UI" w:cs="Segoe UI"/>
          <w:sz w:val="20"/>
          <w:szCs w:val="20"/>
        </w:rPr>
        <w:t>Several individual risks varied significantly from the international averages. Treated mean (-11%) and Trolling (-10%) had below average incidences while Online harassment (+11%) had above average incidence compared to international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5300F3D1" w14:textId="77777777" w:rsidR="00552A1D" w:rsidRPr="00552A1D" w:rsidRDefault="00552A1D" w:rsidP="00552A1D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73AC2DA6" w14:textId="3AFAA094" w:rsidR="00552A1D" w:rsidRPr="00552A1D" w:rsidRDefault="00552A1D" w:rsidP="00552A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 xml:space="preserve">Reputational risks </w:t>
      </w:r>
      <w:r w:rsidR="00B712B7">
        <w:rPr>
          <w:rFonts w:ascii="Segoe UI" w:hAnsi="Segoe UI" w:cs="Segoe UI"/>
          <w:sz w:val="20"/>
          <w:szCs w:val="20"/>
        </w:rPr>
        <w:t xml:space="preserve">were much higher in China compared to international (39%, 17%) driven by Doxing (34%). </w:t>
      </w:r>
      <w:r w:rsidR="004C3325">
        <w:rPr>
          <w:rFonts w:ascii="Segoe UI" w:hAnsi="Segoe UI" w:cs="Segoe UI"/>
          <w:sz w:val="20"/>
          <w:szCs w:val="20"/>
        </w:rPr>
        <w:t xml:space="preserve">The </w:t>
      </w:r>
      <w:r w:rsidR="00E33E98">
        <w:rPr>
          <w:rFonts w:ascii="Segoe UI" w:hAnsi="Segoe UI" w:cs="Segoe UI"/>
          <w:sz w:val="20"/>
          <w:szCs w:val="20"/>
        </w:rPr>
        <w:t xml:space="preserve">Doxing rate in China </w:t>
      </w:r>
      <w:r w:rsidR="00B712B7">
        <w:rPr>
          <w:rFonts w:ascii="Segoe UI" w:hAnsi="Segoe UI" w:cs="Segoe UI"/>
          <w:sz w:val="20"/>
          <w:szCs w:val="20"/>
        </w:rPr>
        <w:t xml:space="preserve">was double </w:t>
      </w:r>
      <w:r w:rsidR="004C3325">
        <w:rPr>
          <w:rFonts w:ascii="Segoe UI" w:hAnsi="Segoe UI" w:cs="Segoe UI"/>
          <w:sz w:val="20"/>
          <w:szCs w:val="20"/>
        </w:rPr>
        <w:t xml:space="preserve">the </w:t>
      </w:r>
      <w:r w:rsidR="00B712B7">
        <w:rPr>
          <w:rFonts w:ascii="Segoe UI" w:hAnsi="Segoe UI" w:cs="Segoe UI"/>
          <w:sz w:val="20"/>
          <w:szCs w:val="20"/>
        </w:rPr>
        <w:t xml:space="preserve">second </w:t>
      </w:r>
      <w:r w:rsidR="004C3325">
        <w:rPr>
          <w:rFonts w:ascii="Segoe UI" w:hAnsi="Segoe UI" w:cs="Segoe UI"/>
          <w:sz w:val="20"/>
          <w:szCs w:val="20"/>
        </w:rPr>
        <w:t>ranked country (</w:t>
      </w:r>
      <w:r w:rsidR="00B712B7">
        <w:rPr>
          <w:rFonts w:ascii="Segoe UI" w:hAnsi="Segoe UI" w:cs="Segoe UI"/>
          <w:sz w:val="20"/>
          <w:szCs w:val="20"/>
        </w:rPr>
        <w:t>Russia</w:t>
      </w:r>
      <w:r w:rsidR="004C3325">
        <w:rPr>
          <w:rFonts w:ascii="Segoe UI" w:hAnsi="Segoe UI" w:cs="Segoe UI"/>
          <w:sz w:val="20"/>
          <w:szCs w:val="20"/>
        </w:rPr>
        <w:t xml:space="preserve">, </w:t>
      </w:r>
      <w:r w:rsidR="00B712B7">
        <w:rPr>
          <w:rFonts w:ascii="Segoe UI" w:hAnsi="Segoe UI" w:cs="Segoe UI"/>
          <w:sz w:val="20"/>
          <w:szCs w:val="20"/>
        </w:rPr>
        <w:t>17%</w:t>
      </w:r>
      <w:r w:rsidR="00E33E98">
        <w:rPr>
          <w:rFonts w:ascii="Segoe UI" w:hAnsi="Segoe UI" w:cs="Segoe UI"/>
          <w:sz w:val="20"/>
          <w:szCs w:val="20"/>
        </w:rPr>
        <w:t>)</w:t>
      </w:r>
      <w:r w:rsidR="00B712B7">
        <w:rPr>
          <w:rFonts w:ascii="Segoe UI" w:hAnsi="Segoe UI" w:cs="Segoe UI"/>
          <w:sz w:val="20"/>
          <w:szCs w:val="20"/>
        </w:rPr>
        <w:t>.</w:t>
      </w:r>
    </w:p>
    <w:p w14:paraId="4E2FD717" w14:textId="5D99E327" w:rsidR="00CD6852" w:rsidRPr="00552A1D" w:rsidRDefault="00CD6852" w:rsidP="00552A1D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6E9A8E5C" w14:textId="0F81B4E5" w:rsidR="00EC709F" w:rsidRPr="00EC709F" w:rsidRDefault="00920C85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Consumers in China </w:t>
      </w:r>
      <w:r w:rsidR="00EC709F">
        <w:rPr>
          <w:rFonts w:ascii="Segoe UI" w:hAnsi="Segoe UI" w:cs="Segoe UI"/>
          <w:sz w:val="20"/>
          <w:szCs w:val="20"/>
        </w:rPr>
        <w:t>had a</w:t>
      </w:r>
      <w:r>
        <w:rPr>
          <w:rFonts w:ascii="Segoe UI" w:hAnsi="Segoe UI" w:cs="Segoe UI"/>
          <w:sz w:val="20"/>
          <w:szCs w:val="20"/>
        </w:rPr>
        <w:t xml:space="preserve">n above average </w:t>
      </w:r>
      <w:r w:rsidR="00EC709F">
        <w:rPr>
          <w:rFonts w:ascii="Segoe UI" w:hAnsi="Segoe UI" w:cs="Segoe UI"/>
          <w:sz w:val="20"/>
          <w:szCs w:val="20"/>
        </w:rPr>
        <w:t>chance of experiencing any Sexual online risk compared to international</w:t>
      </w:r>
      <w:r w:rsidR="00C25D9A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20"/>
          <w:szCs w:val="20"/>
        </w:rPr>
        <w:t>36</w:t>
      </w:r>
      <w:r w:rsidR="00C25D9A">
        <w:rPr>
          <w:rFonts w:ascii="Segoe UI" w:hAnsi="Segoe UI" w:cs="Segoe UI"/>
          <w:sz w:val="20"/>
          <w:szCs w:val="20"/>
        </w:rPr>
        <w:t xml:space="preserve">%, </w:t>
      </w:r>
      <w:r>
        <w:rPr>
          <w:rFonts w:ascii="Segoe UI" w:hAnsi="Segoe UI" w:cs="Segoe UI"/>
          <w:sz w:val="20"/>
          <w:szCs w:val="20"/>
        </w:rPr>
        <w:t>29</w:t>
      </w:r>
      <w:r w:rsidR="00C25D9A">
        <w:rPr>
          <w:rFonts w:ascii="Segoe UI" w:hAnsi="Segoe UI" w:cs="Segoe UI"/>
          <w:sz w:val="20"/>
          <w:szCs w:val="20"/>
        </w:rPr>
        <w:t>%)</w:t>
      </w:r>
      <w:r w:rsidR="00EC709F">
        <w:rPr>
          <w:rFonts w:ascii="Segoe UI" w:hAnsi="Segoe UI" w:cs="Segoe UI"/>
          <w:sz w:val="20"/>
          <w:szCs w:val="20"/>
        </w:rPr>
        <w:t xml:space="preserve">.  </w:t>
      </w:r>
    </w:p>
    <w:p w14:paraId="284495B0" w14:textId="2AC5CCCF" w:rsidR="004A4F7E" w:rsidRPr="00552A1D" w:rsidRDefault="00365D57" w:rsidP="007E12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>U</w:t>
      </w:r>
      <w:r w:rsidR="00AF6842" w:rsidRPr="00552A1D">
        <w:rPr>
          <w:rFonts w:ascii="Segoe UI" w:hAnsi="Segoe UI" w:cs="Segoe UI"/>
          <w:sz w:val="20"/>
          <w:szCs w:val="20"/>
        </w:rPr>
        <w:t xml:space="preserve">nwanted sexting </w:t>
      </w:r>
      <w:r w:rsidRPr="00552A1D">
        <w:rPr>
          <w:rFonts w:ascii="Segoe UI" w:hAnsi="Segoe UI" w:cs="Segoe UI"/>
          <w:sz w:val="20"/>
          <w:szCs w:val="20"/>
        </w:rPr>
        <w:t>(received</w:t>
      </w:r>
      <w:r w:rsidR="005A580B">
        <w:rPr>
          <w:rFonts w:ascii="Segoe UI" w:hAnsi="Segoe UI" w:cs="Segoe UI"/>
          <w:sz w:val="20"/>
          <w:szCs w:val="20"/>
        </w:rPr>
        <w:t xml:space="preserve"> or sent, 32</w:t>
      </w:r>
      <w:r w:rsidR="00B275B3" w:rsidRPr="00552A1D">
        <w:rPr>
          <w:rFonts w:ascii="Segoe UI" w:hAnsi="Segoe UI" w:cs="Segoe UI"/>
          <w:sz w:val="20"/>
          <w:szCs w:val="20"/>
        </w:rPr>
        <w:t>%</w:t>
      </w:r>
      <w:r w:rsidR="005A580B">
        <w:rPr>
          <w:rFonts w:ascii="Segoe UI" w:hAnsi="Segoe UI" w:cs="Segoe UI"/>
          <w:sz w:val="20"/>
          <w:szCs w:val="20"/>
        </w:rPr>
        <w:t>) and Sexual solicitation (16</w:t>
      </w:r>
      <w:r w:rsidR="00B275B3" w:rsidRPr="00552A1D">
        <w:rPr>
          <w:rFonts w:ascii="Segoe UI" w:hAnsi="Segoe UI" w:cs="Segoe UI"/>
          <w:sz w:val="20"/>
          <w:szCs w:val="20"/>
        </w:rPr>
        <w:t>%) were</w:t>
      </w:r>
      <w:r w:rsidR="00C25D9A" w:rsidRPr="00552A1D">
        <w:rPr>
          <w:rFonts w:ascii="Segoe UI" w:hAnsi="Segoe UI" w:cs="Segoe UI"/>
          <w:sz w:val="20"/>
          <w:szCs w:val="20"/>
        </w:rPr>
        <w:t xml:space="preserve"> the</w:t>
      </w:r>
      <w:r w:rsidR="00B275B3" w:rsidRPr="00552A1D">
        <w:rPr>
          <w:rFonts w:ascii="Segoe UI" w:hAnsi="Segoe UI" w:cs="Segoe UI"/>
          <w:sz w:val="20"/>
          <w:szCs w:val="20"/>
        </w:rPr>
        <w:t xml:space="preserve"> </w:t>
      </w:r>
      <w:r w:rsidR="00AF6842" w:rsidRPr="00552A1D">
        <w:rPr>
          <w:rFonts w:ascii="Segoe UI" w:hAnsi="Segoe UI" w:cs="Segoe UI"/>
          <w:sz w:val="20"/>
          <w:szCs w:val="20"/>
        </w:rPr>
        <w:t>most common sexual risk</w:t>
      </w:r>
      <w:r w:rsidR="00EC709F" w:rsidRPr="00552A1D">
        <w:rPr>
          <w:rFonts w:ascii="Segoe UI" w:hAnsi="Segoe UI" w:cs="Segoe UI"/>
          <w:sz w:val="20"/>
          <w:szCs w:val="20"/>
        </w:rPr>
        <w:t>s</w:t>
      </w:r>
      <w:r w:rsidRPr="00552A1D">
        <w:rPr>
          <w:rFonts w:ascii="Segoe UI" w:hAnsi="Segoe UI" w:cs="Segoe UI"/>
          <w:sz w:val="20"/>
          <w:szCs w:val="20"/>
        </w:rPr>
        <w:t xml:space="preserve">. </w:t>
      </w:r>
    </w:p>
    <w:p w14:paraId="6A2F4558" w14:textId="0E1A6FB8" w:rsidR="007242A3" w:rsidRDefault="00C009A7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C009A7">
        <w:rPr>
          <w:noProof/>
        </w:rPr>
        <w:drawing>
          <wp:anchor distT="0" distB="0" distL="114300" distR="114300" simplePos="0" relativeHeight="251720704" behindDoc="0" locked="0" layoutInCell="1" allowOverlap="1" wp14:anchorId="69355CB5" wp14:editId="539D2767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3392424" cy="396849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0843F7EC" w:rsidR="00821F5C" w:rsidRPr="00D36725" w:rsidRDefault="00311346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6149738E" wp14:editId="7AF24261">
            <wp:simplePos x="0" y="0"/>
            <wp:positionH relativeFrom="column">
              <wp:posOffset>3619500</wp:posOffset>
            </wp:positionH>
            <wp:positionV relativeFrom="paragraph">
              <wp:posOffset>457200</wp:posOffset>
            </wp:positionV>
            <wp:extent cx="3392170" cy="336486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4C278B69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C7C6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3D6A78D8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D0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2B18DB03" w:rsidR="006C36D4" w:rsidRDefault="00AA6731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Nearly two-thirds of </w:t>
      </w:r>
      <w:r w:rsidR="001C2075">
        <w:rPr>
          <w:rFonts w:ascii="Segoe UI" w:hAnsi="Segoe UI" w:cs="Segoe UI"/>
          <w:sz w:val="20"/>
          <w:szCs w:val="20"/>
        </w:rPr>
        <w:t>Chinese</w:t>
      </w:r>
      <w:r w:rsidR="00B1540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 xml:space="preserve">This was similar </w:t>
      </w:r>
      <w:r>
        <w:rPr>
          <w:rFonts w:ascii="Segoe UI" w:hAnsi="Segoe UI" w:cs="Segoe UI"/>
          <w:sz w:val="20"/>
          <w:szCs w:val="20"/>
        </w:rPr>
        <w:t>to 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4A3B38C6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844E18">
        <w:rPr>
          <w:rFonts w:ascii="Segoe UI" w:hAnsi="Segoe UI" w:cs="Segoe UI"/>
          <w:sz w:val="20"/>
          <w:szCs w:val="20"/>
        </w:rPr>
        <w:t>4</w:t>
      </w:r>
      <w:r w:rsidR="009F1C11">
        <w:rPr>
          <w:rFonts w:ascii="Segoe UI" w:hAnsi="Segoe UI" w:cs="Segoe UI"/>
          <w:sz w:val="20"/>
          <w:szCs w:val="20"/>
        </w:rPr>
        <w:t xml:space="preserve">0%)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</w:t>
      </w:r>
      <w:r w:rsidR="00844E18">
        <w:rPr>
          <w:rFonts w:ascii="Segoe UI" w:hAnsi="Segoe UI" w:cs="Segoe UI"/>
          <w:sz w:val="20"/>
          <w:szCs w:val="20"/>
        </w:rPr>
        <w:t>26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As a result,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130A1DFE" w14:textId="3759B39E" w:rsidR="00AB433A" w:rsidRDefault="00AA6731" w:rsidP="00844E1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18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 w:rsidR="001204AA">
        <w:rPr>
          <w:rFonts w:ascii="Segoe UI" w:hAnsi="Segoe UI" w:cs="Segoe UI"/>
          <w:sz w:val="20"/>
          <w:szCs w:val="20"/>
        </w:rPr>
        <w:t xml:space="preserve">made an effort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>
        <w:rPr>
          <w:rFonts w:ascii="Segoe UI" w:hAnsi="Segoe UI" w:cs="Segoe UI"/>
          <w:sz w:val="20"/>
          <w:szCs w:val="20"/>
        </w:rPr>
        <w:t xml:space="preserve"> </w:t>
      </w:r>
      <w:r w:rsidR="00116AC7">
        <w:rPr>
          <w:rFonts w:ascii="Segoe UI" w:hAnsi="Segoe UI" w:cs="Segoe UI"/>
          <w:sz w:val="20"/>
          <w:szCs w:val="20"/>
        </w:rPr>
        <w:t xml:space="preserve">much lower in China vs. </w:t>
      </w:r>
      <w:r>
        <w:rPr>
          <w:rFonts w:ascii="Segoe UI" w:hAnsi="Segoe UI" w:cs="Segoe UI"/>
          <w:sz w:val="20"/>
          <w:szCs w:val="20"/>
        </w:rPr>
        <w:t>international (27%).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074C97AF" w14:textId="284927EA" w:rsidR="00844E18" w:rsidRDefault="00844E18" w:rsidP="00844E18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98CF302" w14:textId="77777777" w:rsidR="00844E18" w:rsidRPr="00844E18" w:rsidRDefault="00844E18" w:rsidP="00844E18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8351E6B" w14:textId="77777777" w:rsidR="00831BE6" w:rsidRDefault="00831BE6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831BE6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43A47A5F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4E4E514" w:rsidR="00340DB8" w:rsidRPr="00DC6BE2" w:rsidRDefault="00340DB8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13360EE5" w:rsidR="00EE045D" w:rsidRDefault="0031134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652CA8B5">
                <wp:simplePos x="0" y="0"/>
                <wp:positionH relativeFrom="column">
                  <wp:posOffset>3596640</wp:posOffset>
                </wp:positionH>
                <wp:positionV relativeFrom="paragraph">
                  <wp:posOffset>298450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A63B4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23.5pt" to="540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" strokecolor="gray [1629]" strokeweight=".5pt"/>
            </w:pict>
          </mc:Fallback>
        </mc:AlternateContent>
      </w:r>
    </w:p>
    <w:p w14:paraId="3013E2F5" w14:textId="2A4AD0B9" w:rsidR="00CB23CC" w:rsidRDefault="00CB23CC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0A5E3F2D" w14:textId="50485B3E" w:rsidR="004278A7" w:rsidRDefault="00844E1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844E18">
        <w:rPr>
          <w:noProof/>
        </w:rPr>
        <w:drawing>
          <wp:anchor distT="0" distB="0" distL="114300" distR="114300" simplePos="0" relativeHeight="251721728" behindDoc="0" locked="0" layoutInCell="1" allowOverlap="1" wp14:anchorId="4FCACE72" wp14:editId="7B1D8187">
            <wp:simplePos x="0" y="0"/>
            <wp:positionH relativeFrom="column">
              <wp:posOffset>3642360</wp:posOffset>
            </wp:positionH>
            <wp:positionV relativeFrom="paragraph">
              <wp:posOffset>350520</wp:posOffset>
            </wp:positionV>
            <wp:extent cx="3392424" cy="4151376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6114FC7F" w:rsidR="00371E9C" w:rsidRPr="00AB4812" w:rsidRDefault="00AB4BEE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44% of Chinese</w:t>
      </w:r>
      <w:r w:rsidR="00897ED2">
        <w:rPr>
          <w:rFonts w:ascii="Segoe UI" w:hAnsi="Segoe UI" w:cs="Segoe UI"/>
          <w:sz w:val="20"/>
          <w:szCs w:val="20"/>
        </w:rPr>
        <w:t xml:space="preserve"> </w:t>
      </w:r>
      <w:r w:rsidR="00B035C4">
        <w:rPr>
          <w:rFonts w:ascii="Segoe UI" w:hAnsi="Segoe UI" w:cs="Segoe UI"/>
          <w:sz w:val="20"/>
          <w:szCs w:val="20"/>
        </w:rPr>
        <w:t xml:space="preserve">were much more or more concerned about online risks overall. This concern was </w:t>
      </w:r>
      <w:r w:rsidR="00897ED2">
        <w:rPr>
          <w:rFonts w:ascii="Segoe UI" w:hAnsi="Segoe UI" w:cs="Segoe UI"/>
          <w:sz w:val="20"/>
          <w:szCs w:val="20"/>
        </w:rPr>
        <w:t xml:space="preserve">echoed </w:t>
      </w:r>
      <w:r w:rsidR="00DE1696">
        <w:rPr>
          <w:rFonts w:ascii="Segoe UI" w:hAnsi="Segoe UI" w:cs="Segoe UI"/>
          <w:sz w:val="20"/>
          <w:szCs w:val="20"/>
        </w:rPr>
        <w:t xml:space="preserve">more </w:t>
      </w:r>
      <w:r w:rsidR="009259A4">
        <w:rPr>
          <w:rFonts w:ascii="Segoe UI" w:hAnsi="Segoe UI" w:cs="Segoe UI"/>
          <w:sz w:val="20"/>
          <w:szCs w:val="20"/>
        </w:rPr>
        <w:t xml:space="preserve">strongly </w:t>
      </w:r>
      <w:r w:rsidR="00371E9C">
        <w:rPr>
          <w:rFonts w:ascii="Segoe UI" w:hAnsi="Segoe UI" w:cs="Segoe UI"/>
          <w:sz w:val="20"/>
          <w:szCs w:val="20"/>
        </w:rPr>
        <w:t xml:space="preserve">outside the </w:t>
      </w:r>
      <w:r w:rsidR="00DE1696">
        <w:rPr>
          <w:rFonts w:ascii="Segoe UI" w:hAnsi="Segoe UI" w:cs="Segoe UI"/>
          <w:sz w:val="20"/>
          <w:szCs w:val="20"/>
        </w:rPr>
        <w:t>country</w:t>
      </w:r>
      <w:r w:rsidR="00371E9C">
        <w:rPr>
          <w:rFonts w:ascii="Segoe UI" w:hAnsi="Segoe UI" w:cs="Segoe UI"/>
          <w:sz w:val="20"/>
          <w:szCs w:val="20"/>
        </w:rPr>
        <w:t xml:space="preserve">. </w:t>
      </w:r>
      <w:r w:rsidR="00B035C4">
        <w:rPr>
          <w:rFonts w:ascii="Segoe UI" w:hAnsi="Segoe UI" w:cs="Segoe UI"/>
          <w:sz w:val="20"/>
          <w:szCs w:val="20"/>
        </w:rPr>
        <w:t>(</w:t>
      </w:r>
      <w:r w:rsidR="00C46EA6">
        <w:rPr>
          <w:rFonts w:ascii="Segoe UI" w:hAnsi="Segoe UI" w:cs="Segoe UI"/>
          <w:sz w:val="20"/>
          <w:szCs w:val="20"/>
        </w:rPr>
        <w:t>I</w:t>
      </w:r>
      <w:r w:rsidR="00844E18">
        <w:rPr>
          <w:rFonts w:ascii="Segoe UI" w:hAnsi="Segoe UI" w:cs="Segoe UI"/>
          <w:sz w:val="20"/>
          <w:szCs w:val="20"/>
        </w:rPr>
        <w:t>nternational</w:t>
      </w:r>
      <w:r w:rsidR="00371E9C">
        <w:rPr>
          <w:rFonts w:ascii="Segoe UI" w:hAnsi="Segoe UI" w:cs="Segoe UI"/>
          <w:sz w:val="20"/>
          <w:szCs w:val="20"/>
        </w:rPr>
        <w:t xml:space="preserve">, </w:t>
      </w:r>
      <w:r w:rsidR="000D12BC">
        <w:rPr>
          <w:rFonts w:ascii="Segoe UI" w:hAnsi="Segoe UI" w:cs="Segoe UI"/>
          <w:sz w:val="20"/>
          <w:szCs w:val="20"/>
        </w:rPr>
        <w:t xml:space="preserve">50%).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1992FD8E" w14:textId="77777777" w:rsidR="00943533" w:rsidRDefault="00A61C40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Unlike all other countries</w:t>
      </w:r>
      <w:r w:rsidR="00AA536A">
        <w:rPr>
          <w:rFonts w:ascii="Segoe UI" w:hAnsi="Segoe UI" w:cs="Segoe UI"/>
          <w:sz w:val="20"/>
          <w:szCs w:val="20"/>
        </w:rPr>
        <w:t xml:space="preserve"> surveyed</w:t>
      </w:r>
      <w:r>
        <w:rPr>
          <w:rFonts w:ascii="Segoe UI" w:hAnsi="Segoe UI" w:cs="Segoe UI"/>
          <w:sz w:val="20"/>
          <w:szCs w:val="20"/>
        </w:rPr>
        <w:t xml:space="preserve">, </w:t>
      </w:r>
      <w:r w:rsidR="00AB4BEE">
        <w:rPr>
          <w:rFonts w:ascii="Segoe UI" w:hAnsi="Segoe UI" w:cs="Segoe UI"/>
          <w:sz w:val="20"/>
          <w:szCs w:val="20"/>
        </w:rPr>
        <w:t xml:space="preserve">Reputational </w:t>
      </w:r>
      <w:r w:rsidR="00CB5735">
        <w:rPr>
          <w:rFonts w:ascii="Segoe UI" w:hAnsi="Segoe UI" w:cs="Segoe UI"/>
          <w:sz w:val="20"/>
          <w:szCs w:val="20"/>
        </w:rPr>
        <w:t>(</w:t>
      </w:r>
      <w:r w:rsidR="00AB4BEE">
        <w:rPr>
          <w:rFonts w:ascii="Segoe UI" w:hAnsi="Segoe UI" w:cs="Segoe UI"/>
          <w:sz w:val="20"/>
          <w:szCs w:val="20"/>
        </w:rPr>
        <w:t>63</w:t>
      </w:r>
      <w:r w:rsidR="00CB5735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 xml:space="preserve">risks were </w:t>
      </w:r>
      <w:r w:rsidR="00AA536A">
        <w:rPr>
          <w:rFonts w:ascii="Segoe UI" w:hAnsi="Segoe UI" w:cs="Segoe UI"/>
          <w:sz w:val="20"/>
          <w:szCs w:val="20"/>
        </w:rPr>
        <w:t xml:space="preserve">ranked </w:t>
      </w:r>
      <w:r>
        <w:rPr>
          <w:rFonts w:ascii="Segoe UI" w:hAnsi="Segoe UI" w:cs="Segoe UI"/>
          <w:sz w:val="20"/>
          <w:szCs w:val="20"/>
        </w:rPr>
        <w:t xml:space="preserve">the most </w:t>
      </w:r>
      <w:r w:rsidR="00AA536A">
        <w:rPr>
          <w:rFonts w:ascii="Segoe UI" w:hAnsi="Segoe UI" w:cs="Segoe UI"/>
          <w:sz w:val="20"/>
          <w:szCs w:val="20"/>
        </w:rPr>
        <w:t xml:space="preserve">worrisome </w:t>
      </w:r>
      <w:r>
        <w:rPr>
          <w:rFonts w:ascii="Segoe UI" w:hAnsi="Segoe UI" w:cs="Segoe UI"/>
          <w:sz w:val="20"/>
          <w:szCs w:val="20"/>
        </w:rPr>
        <w:t>in China</w:t>
      </w:r>
      <w:r w:rsidR="00AA536A">
        <w:rPr>
          <w:rFonts w:ascii="Segoe UI" w:hAnsi="Segoe UI" w:cs="Segoe UI"/>
          <w:sz w:val="20"/>
          <w:szCs w:val="20"/>
        </w:rPr>
        <w:t xml:space="preserve"> outpacing</w:t>
      </w:r>
      <w:r>
        <w:rPr>
          <w:rFonts w:ascii="Segoe UI" w:hAnsi="Segoe UI" w:cs="Segoe UI"/>
          <w:sz w:val="20"/>
          <w:szCs w:val="20"/>
        </w:rPr>
        <w:t xml:space="preserve"> the international average </w:t>
      </w:r>
      <w:r w:rsidR="00AB4BEE">
        <w:rPr>
          <w:rFonts w:ascii="Segoe UI" w:hAnsi="Segoe UI" w:cs="Segoe UI"/>
          <w:sz w:val="20"/>
          <w:szCs w:val="20"/>
        </w:rPr>
        <w:t>by 10 points (63%, 53%).</w:t>
      </w:r>
      <w:r w:rsidR="00AA536A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334EBB55" w:rsidR="00AB4812" w:rsidRDefault="00AB4BEE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Intrusive (50%, 57%) and Sexual (43%, 48%) risk categories were significantly lower than international.   </w:t>
      </w:r>
    </w:p>
    <w:p w14:paraId="559EAA5C" w14:textId="56D7AF1C" w:rsidR="00CB5735" w:rsidRPr="00AB4812" w:rsidRDefault="00AB4BEE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Doxing (55%) </w:t>
      </w:r>
      <w:r w:rsidR="00844E18">
        <w:rPr>
          <w:rFonts w:ascii="Segoe UI" w:hAnsi="Segoe UI" w:cs="Segoe UI"/>
          <w:sz w:val="20"/>
          <w:szCs w:val="20"/>
        </w:rPr>
        <w:t xml:space="preserve">generated the highest level of concern </w:t>
      </w:r>
      <w:r>
        <w:rPr>
          <w:rFonts w:ascii="Segoe UI" w:hAnsi="Segoe UI" w:cs="Segoe UI"/>
          <w:sz w:val="20"/>
          <w:szCs w:val="20"/>
        </w:rPr>
        <w:t>in China. This</w:t>
      </w:r>
      <w:r w:rsidR="005843C8">
        <w:rPr>
          <w:rFonts w:ascii="Segoe UI" w:hAnsi="Segoe UI" w:cs="Segoe UI"/>
          <w:sz w:val="20"/>
          <w:szCs w:val="20"/>
        </w:rPr>
        <w:t xml:space="preserve"> was t</w:t>
      </w:r>
      <w:r>
        <w:rPr>
          <w:rFonts w:ascii="Segoe UI" w:hAnsi="Segoe UI" w:cs="Segoe UI"/>
          <w:sz w:val="20"/>
          <w:szCs w:val="20"/>
        </w:rPr>
        <w:t xml:space="preserve">he highest rate </w:t>
      </w:r>
      <w:r w:rsidR="00844E18">
        <w:rPr>
          <w:rFonts w:ascii="Segoe UI" w:hAnsi="Segoe UI" w:cs="Segoe UI"/>
          <w:sz w:val="20"/>
          <w:szCs w:val="20"/>
        </w:rPr>
        <w:t>among all countries surveyed by a wide margin.</w:t>
      </w:r>
    </w:p>
    <w:p w14:paraId="740352AD" w14:textId="5389CC92" w:rsidR="00AB4812" w:rsidRPr="00AB4812" w:rsidRDefault="00AA536A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general, Chinese </w:t>
      </w:r>
      <w:r w:rsidR="00212827">
        <w:rPr>
          <w:rFonts w:ascii="Segoe UI" w:hAnsi="Segoe UI" w:cs="Segoe UI"/>
          <w:sz w:val="20"/>
          <w:szCs w:val="20"/>
        </w:rPr>
        <w:t xml:space="preserve">said they had </w:t>
      </w:r>
      <w:r w:rsidR="00784998">
        <w:rPr>
          <w:rFonts w:ascii="Segoe UI" w:hAnsi="Segoe UI" w:cs="Segoe UI"/>
          <w:sz w:val="20"/>
          <w:szCs w:val="20"/>
        </w:rPr>
        <w:t>l</w:t>
      </w:r>
      <w:r w:rsidR="0005731D">
        <w:rPr>
          <w:rFonts w:ascii="Segoe UI" w:hAnsi="Segoe UI" w:cs="Segoe UI"/>
          <w:sz w:val="20"/>
          <w:szCs w:val="20"/>
        </w:rPr>
        <w:t xml:space="preserve">ower </w:t>
      </w:r>
      <w:r w:rsidR="00784998">
        <w:rPr>
          <w:rFonts w:ascii="Segoe UI" w:hAnsi="Segoe UI" w:cs="Segoe UI"/>
          <w:sz w:val="20"/>
          <w:szCs w:val="20"/>
        </w:rPr>
        <w:t xml:space="preserve">concerns </w:t>
      </w:r>
      <w:r w:rsidR="00FF03DE">
        <w:rPr>
          <w:rFonts w:ascii="Segoe UI" w:hAnsi="Segoe UI" w:cs="Segoe UI"/>
          <w:sz w:val="20"/>
          <w:szCs w:val="20"/>
        </w:rPr>
        <w:t xml:space="preserve">across </w:t>
      </w:r>
      <w:r w:rsidR="0062059C">
        <w:rPr>
          <w:rFonts w:ascii="Segoe UI" w:hAnsi="Segoe UI" w:cs="Segoe UI"/>
          <w:sz w:val="20"/>
          <w:szCs w:val="20"/>
        </w:rPr>
        <w:t>most</w:t>
      </w:r>
      <w:r w:rsidR="00AB4812" w:rsidRPr="00AB4812">
        <w:rPr>
          <w:rFonts w:ascii="Segoe UI" w:hAnsi="Segoe UI" w:cs="Segoe UI"/>
          <w:sz w:val="20"/>
          <w:szCs w:val="20"/>
        </w:rPr>
        <w:t xml:space="preserve"> online risks compared to international</w:t>
      </w:r>
      <w:r w:rsidR="004D1077">
        <w:rPr>
          <w:rFonts w:ascii="Segoe UI" w:hAnsi="Segoe UI" w:cs="Segoe UI"/>
          <w:sz w:val="20"/>
          <w:szCs w:val="20"/>
        </w:rPr>
        <w:t xml:space="preserve">. </w:t>
      </w:r>
      <w:r w:rsidR="0062059C">
        <w:rPr>
          <w:rFonts w:ascii="Segoe UI" w:hAnsi="Segoe UI" w:cs="Segoe UI"/>
          <w:sz w:val="20"/>
          <w:szCs w:val="20"/>
        </w:rPr>
        <w:t xml:space="preserve">In </w:t>
      </w:r>
      <w:r w:rsidR="00212827">
        <w:rPr>
          <w:rFonts w:ascii="Segoe UI" w:hAnsi="Segoe UI" w:cs="Segoe UI"/>
          <w:sz w:val="20"/>
          <w:szCs w:val="20"/>
        </w:rPr>
        <w:t>Terrorism recruiting</w:t>
      </w:r>
      <w:r w:rsidR="004D1077">
        <w:rPr>
          <w:rFonts w:ascii="Segoe UI" w:hAnsi="Segoe UI" w:cs="Segoe UI"/>
          <w:sz w:val="20"/>
          <w:szCs w:val="20"/>
        </w:rPr>
        <w:t xml:space="preserve"> (</w:t>
      </w:r>
      <w:r w:rsidR="00212827">
        <w:rPr>
          <w:rFonts w:ascii="Segoe UI" w:hAnsi="Segoe UI" w:cs="Segoe UI"/>
          <w:sz w:val="20"/>
          <w:szCs w:val="20"/>
        </w:rPr>
        <w:t>24%, 41%)</w:t>
      </w:r>
      <w:r w:rsidR="004D1077">
        <w:rPr>
          <w:rFonts w:ascii="Segoe UI" w:hAnsi="Segoe UI" w:cs="Segoe UI"/>
          <w:sz w:val="20"/>
          <w:szCs w:val="20"/>
        </w:rPr>
        <w:t xml:space="preserve"> and </w:t>
      </w:r>
      <w:r w:rsidR="00212827">
        <w:rPr>
          <w:rFonts w:ascii="Segoe UI" w:hAnsi="Segoe UI" w:cs="Segoe UI"/>
          <w:sz w:val="20"/>
          <w:szCs w:val="20"/>
        </w:rPr>
        <w:t>Discrimination (2</w:t>
      </w:r>
      <w:r w:rsidR="004D1077">
        <w:rPr>
          <w:rFonts w:ascii="Segoe UI" w:hAnsi="Segoe UI" w:cs="Segoe UI"/>
          <w:sz w:val="20"/>
          <w:szCs w:val="20"/>
        </w:rPr>
        <w:t xml:space="preserve">2%, </w:t>
      </w:r>
      <w:r w:rsidR="00212827">
        <w:rPr>
          <w:rFonts w:ascii="Segoe UI" w:hAnsi="Segoe UI" w:cs="Segoe UI"/>
          <w:sz w:val="20"/>
          <w:szCs w:val="20"/>
        </w:rPr>
        <w:t>36</w:t>
      </w:r>
      <w:r w:rsidR="004D1077">
        <w:rPr>
          <w:rFonts w:ascii="Segoe UI" w:hAnsi="Segoe UI" w:cs="Segoe UI"/>
          <w:sz w:val="20"/>
          <w:szCs w:val="20"/>
        </w:rPr>
        <w:t>%)</w:t>
      </w:r>
      <w:r w:rsidR="00FF03DE">
        <w:rPr>
          <w:rFonts w:ascii="Segoe UI" w:hAnsi="Segoe UI" w:cs="Segoe UI"/>
          <w:sz w:val="20"/>
          <w:szCs w:val="20"/>
        </w:rPr>
        <w:t xml:space="preserve"> </w:t>
      </w:r>
      <w:r w:rsidR="0062059C">
        <w:rPr>
          <w:rFonts w:ascii="Segoe UI" w:hAnsi="Segoe UI" w:cs="Segoe UI"/>
          <w:sz w:val="20"/>
          <w:szCs w:val="20"/>
        </w:rPr>
        <w:t xml:space="preserve">were less likely to occur in </w:t>
      </w:r>
      <w:r w:rsidR="00FF03DE">
        <w:rPr>
          <w:rFonts w:ascii="Segoe UI" w:hAnsi="Segoe UI" w:cs="Segoe UI"/>
          <w:sz w:val="20"/>
          <w:szCs w:val="20"/>
        </w:rPr>
        <w:t xml:space="preserve">China </w:t>
      </w:r>
      <w:r w:rsidR="0062059C">
        <w:rPr>
          <w:rFonts w:ascii="Segoe UI" w:hAnsi="Segoe UI" w:cs="Segoe UI"/>
          <w:sz w:val="20"/>
          <w:szCs w:val="20"/>
        </w:rPr>
        <w:t xml:space="preserve">than </w:t>
      </w:r>
      <w:r w:rsidR="00FF03DE">
        <w:rPr>
          <w:rFonts w:ascii="Segoe UI" w:hAnsi="Segoe UI" w:cs="Segoe UI"/>
          <w:sz w:val="20"/>
          <w:szCs w:val="20"/>
        </w:rPr>
        <w:t>international</w:t>
      </w:r>
      <w:r w:rsidR="004D1077">
        <w:rPr>
          <w:rFonts w:ascii="Segoe UI" w:hAnsi="Segoe UI" w:cs="Segoe UI"/>
          <w:sz w:val="20"/>
          <w:szCs w:val="20"/>
        </w:rPr>
        <w:t>.</w:t>
      </w: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4E8E56DB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216A2906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6F01067C" w:rsidR="00C66A0E" w:rsidRDefault="00AD15FA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>Over four</w:t>
      </w:r>
      <w:r w:rsidR="00BD29F5">
        <w:rPr>
          <w:rFonts w:ascii="Segoe UI" w:hAnsi="Segoe UI" w:cs="Segoe UI"/>
          <w:b/>
          <w:sz w:val="28"/>
          <w:szCs w:val="28"/>
        </w:rPr>
        <w:t xml:space="preserve"> </w:t>
      </w:r>
      <w:r w:rsidR="0062059C">
        <w:rPr>
          <w:rFonts w:ascii="Segoe UI" w:hAnsi="Segoe UI" w:cs="Segoe UI"/>
          <w:b/>
          <w:sz w:val="28"/>
          <w:szCs w:val="28"/>
        </w:rPr>
        <w:t xml:space="preserve">in ten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 w:rsidR="0062059C"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6FE8BA83" w:rsidR="00BF5800" w:rsidRPr="00C12BD1" w:rsidRDefault="00AD15FA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42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>
        <w:rPr>
          <w:rFonts w:ascii="Segoe UI" w:hAnsi="Segoe UI" w:cs="Segoe UI"/>
          <w:sz w:val="20"/>
          <w:szCs w:val="20"/>
        </w:rPr>
        <w:t>Chinese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25D13C18" w:rsidR="00BF5800" w:rsidRPr="00C12BD1" w:rsidRDefault="00AD15FA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14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week. </w:t>
      </w:r>
    </w:p>
    <w:p w14:paraId="1A540613" w14:textId="61B3A7B7" w:rsidR="00F17F51" w:rsidRPr="00BB7986" w:rsidRDefault="005D7EA9" w:rsidP="00E83BE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0F466BE0" wp14:editId="1D226CCA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6583680" cy="16459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5FA">
        <w:rPr>
          <w:rFonts w:ascii="Segoe UI" w:hAnsi="Segoe UI" w:cs="Segoe UI"/>
          <w:sz w:val="20"/>
          <w:szCs w:val="20"/>
        </w:rPr>
        <w:t>14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AD15FA">
        <w:rPr>
          <w:rFonts w:ascii="Segoe UI" w:hAnsi="Segoe UI" w:cs="Segoe UI"/>
          <w:sz w:val="20"/>
          <w:szCs w:val="20"/>
        </w:rPr>
        <w:t>1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E83BE1">
        <w:rPr>
          <w:rFonts w:ascii="Segoe UI" w:hAnsi="Segoe UI" w:cs="Segoe UI"/>
          <w:sz w:val="20"/>
          <w:szCs w:val="20"/>
        </w:rPr>
        <w:t>.</w:t>
      </w:r>
    </w:p>
    <w:p w14:paraId="39D96B2E" w14:textId="64111E59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1561BD9B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B24BD98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6E92D3" w14:textId="65707A96" w:rsidR="00D130F8" w:rsidRDefault="00F74E84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AD15FA">
        <w:rPr>
          <w:rFonts w:ascii="Segoe UI" w:hAnsi="Segoe UI" w:cs="Segoe UI"/>
          <w:sz w:val="20"/>
          <w:szCs w:val="20"/>
        </w:rPr>
        <w:t xml:space="preserve"> (17</w:t>
      </w:r>
      <w:r w:rsidR="00B96CD4">
        <w:rPr>
          <w:rFonts w:ascii="Segoe UI" w:hAnsi="Segoe UI" w:cs="Segoe UI"/>
          <w:sz w:val="20"/>
          <w:szCs w:val="20"/>
        </w:rPr>
        <w:t>1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AD15FA">
        <w:rPr>
          <w:rFonts w:ascii="Segoe UI" w:hAnsi="Segoe UI" w:cs="Segoe UI"/>
          <w:sz w:val="20"/>
          <w:szCs w:val="20"/>
        </w:rPr>
        <w:t>160</w:t>
      </w:r>
      <w:r w:rsidR="00B40FC1">
        <w:rPr>
          <w:rFonts w:ascii="Segoe UI" w:hAnsi="Segoe UI" w:cs="Segoe UI"/>
          <w:sz w:val="20"/>
          <w:szCs w:val="20"/>
        </w:rPr>
        <w:t>)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. </w:t>
      </w:r>
      <w:r w:rsidR="00B84F04">
        <w:rPr>
          <w:rFonts w:ascii="Segoe UI" w:hAnsi="Segoe UI" w:cs="Segoe UI"/>
          <w:sz w:val="20"/>
          <w:szCs w:val="20"/>
        </w:rPr>
        <w:t xml:space="preserve">Despite lower interaction levels, adults reported higher rates of online risk (73%, 61%) than youth. </w:t>
      </w:r>
      <w:r w:rsidR="00585231" w:rsidRPr="00CB1FB0">
        <w:rPr>
          <w:rFonts w:ascii="Segoe UI" w:hAnsi="Segoe UI" w:cs="Segoe UI"/>
          <w:sz w:val="20"/>
          <w:szCs w:val="20"/>
        </w:rPr>
        <w:t xml:space="preserve">This </w:t>
      </w:r>
      <w:r w:rsidR="00B84F04">
        <w:rPr>
          <w:rFonts w:ascii="Segoe UI" w:hAnsi="Segoe UI" w:cs="Segoe UI"/>
          <w:sz w:val="20"/>
          <w:szCs w:val="20"/>
        </w:rPr>
        <w:t xml:space="preserve">may suggest </w:t>
      </w:r>
      <w:r w:rsidR="00585231" w:rsidRPr="00CB1FB0">
        <w:rPr>
          <w:rFonts w:ascii="Segoe UI" w:hAnsi="Segoe UI" w:cs="Segoe UI"/>
          <w:sz w:val="20"/>
          <w:szCs w:val="20"/>
        </w:rPr>
        <w:t xml:space="preserve">that youth </w:t>
      </w:r>
      <w:r w:rsidR="00B84F04">
        <w:rPr>
          <w:rFonts w:ascii="Segoe UI" w:hAnsi="Segoe UI" w:cs="Segoe UI"/>
          <w:sz w:val="20"/>
          <w:szCs w:val="20"/>
        </w:rPr>
        <w:t>were better than adults at avoiding online risks</w:t>
      </w:r>
      <w:r w:rsidR="00FE1921">
        <w:rPr>
          <w:rFonts w:ascii="Segoe UI" w:hAnsi="Segoe UI" w:cs="Segoe UI"/>
          <w:sz w:val="20"/>
          <w:szCs w:val="20"/>
        </w:rPr>
        <w:t xml:space="preserve"> or engaged in less risky online behavior.</w:t>
      </w:r>
      <w:r w:rsidR="00B84F04">
        <w:rPr>
          <w:rFonts w:ascii="Segoe UI" w:hAnsi="Segoe UI" w:cs="Segoe UI"/>
          <w:sz w:val="20"/>
          <w:szCs w:val="20"/>
        </w:rPr>
        <w:t xml:space="preserve"> </w:t>
      </w:r>
    </w:p>
    <w:p w14:paraId="7B4C21F5" w14:textId="61E4CD8D" w:rsidR="00F17F51" w:rsidRDefault="00716C2B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Youth were less confident than adults in managing uncivil behavior, (4</w:t>
      </w:r>
      <w:r w:rsidR="007804D8"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7804D8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4%) but youth were </w:t>
      </w:r>
      <w:r w:rsidR="007804D8">
        <w:rPr>
          <w:rFonts w:ascii="Segoe UI" w:hAnsi="Segoe UI" w:cs="Segoe UI"/>
          <w:sz w:val="20"/>
          <w:szCs w:val="20"/>
        </w:rPr>
        <w:t>m</w:t>
      </w:r>
      <w:r>
        <w:rPr>
          <w:rFonts w:ascii="Segoe UI" w:hAnsi="Segoe UI" w:cs="Segoe UI"/>
          <w:sz w:val="20"/>
          <w:szCs w:val="20"/>
        </w:rPr>
        <w:t>ore sure of themselves about where to get help (4</w:t>
      </w:r>
      <w:r w:rsidR="007804D8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7804D8">
        <w:rPr>
          <w:rFonts w:ascii="Segoe UI" w:hAnsi="Segoe UI" w:cs="Segoe UI"/>
          <w:sz w:val="20"/>
          <w:szCs w:val="20"/>
        </w:rPr>
        <w:t>37</w:t>
      </w:r>
      <w:r w:rsidR="006F0BF9">
        <w:rPr>
          <w:rFonts w:ascii="Segoe UI" w:hAnsi="Segoe UI" w:cs="Segoe UI"/>
          <w:sz w:val="20"/>
          <w:szCs w:val="20"/>
        </w:rPr>
        <w:t>%) if</w:t>
      </w:r>
      <w:r w:rsidR="00385A2B">
        <w:rPr>
          <w:rFonts w:ascii="Segoe UI" w:hAnsi="Segoe UI" w:cs="Segoe UI"/>
          <w:sz w:val="20"/>
          <w:szCs w:val="20"/>
        </w:rPr>
        <w:t xml:space="preserve">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823F17">
        <w:rPr>
          <w:rFonts w:ascii="Segoe UI" w:hAnsi="Segoe UI" w:cs="Segoe UI"/>
          <w:sz w:val="20"/>
          <w:szCs w:val="20"/>
        </w:rPr>
        <w:t xml:space="preserve">Males </w:t>
      </w:r>
      <w:r w:rsidR="00F17F51">
        <w:rPr>
          <w:rFonts w:ascii="Segoe UI" w:hAnsi="Segoe UI" w:cs="Segoe UI"/>
          <w:sz w:val="20"/>
          <w:szCs w:val="20"/>
        </w:rPr>
        <w:t xml:space="preserve">reported </w:t>
      </w:r>
      <w:r w:rsidR="00823F17">
        <w:rPr>
          <w:rFonts w:ascii="Segoe UI" w:hAnsi="Segoe UI" w:cs="Segoe UI"/>
          <w:sz w:val="20"/>
          <w:szCs w:val="20"/>
        </w:rPr>
        <w:t xml:space="preserve">much higher exposure to risks than females (75%, 58%). All categories of risk were higher for males led by </w:t>
      </w:r>
      <w:r w:rsidR="006F0BF9">
        <w:rPr>
          <w:rFonts w:ascii="Segoe UI" w:hAnsi="Segoe UI" w:cs="Segoe UI"/>
          <w:sz w:val="20"/>
          <w:szCs w:val="20"/>
        </w:rPr>
        <w:t>a 17-point</w:t>
      </w:r>
      <w:r w:rsidR="00823F17">
        <w:rPr>
          <w:rFonts w:ascii="Segoe UI" w:hAnsi="Segoe UI" w:cs="Segoe UI"/>
          <w:sz w:val="20"/>
          <w:szCs w:val="20"/>
        </w:rPr>
        <w:t xml:space="preserve"> difference on Sexual risks (45%, 28%).</w:t>
      </w:r>
    </w:p>
    <w:p w14:paraId="32BFB029" w14:textId="3FAC5BB1" w:rsidR="00F17F51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were more likely to have </w:t>
      </w:r>
      <w:r w:rsidR="006F0BF9">
        <w:rPr>
          <w:rFonts w:ascii="Segoe UI" w:hAnsi="Segoe UI" w:cs="Segoe UI"/>
          <w:sz w:val="20"/>
          <w:szCs w:val="20"/>
        </w:rPr>
        <w:t>acted</w:t>
      </w:r>
      <w:r>
        <w:rPr>
          <w:rFonts w:ascii="Segoe UI" w:hAnsi="Segoe UI" w:cs="Segoe UI"/>
          <w:sz w:val="20"/>
          <w:szCs w:val="20"/>
        </w:rPr>
        <w:t xml:space="preserve"> (93%, 87%) and felt equally confident in managing risks (46%, 48%).  </w:t>
      </w:r>
    </w:p>
    <w:p w14:paraId="2BC11ED7" w14:textId="6CABB91F" w:rsidR="00716C2B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Males </w:t>
      </w:r>
      <w:r w:rsidR="00F17F51">
        <w:rPr>
          <w:rFonts w:ascii="Segoe UI" w:hAnsi="Segoe UI" w:cs="Segoe UI"/>
          <w:sz w:val="20"/>
          <w:szCs w:val="20"/>
        </w:rPr>
        <w:t xml:space="preserve">were </w:t>
      </w:r>
      <w:r>
        <w:rPr>
          <w:rFonts w:ascii="Segoe UI" w:hAnsi="Segoe UI" w:cs="Segoe UI"/>
          <w:sz w:val="20"/>
          <w:szCs w:val="20"/>
        </w:rPr>
        <w:t xml:space="preserve">slightly </w:t>
      </w:r>
      <w:r w:rsidR="00F17F51">
        <w:rPr>
          <w:rFonts w:ascii="Segoe UI" w:hAnsi="Segoe UI" w:cs="Segoe UI"/>
          <w:sz w:val="20"/>
          <w:szCs w:val="20"/>
        </w:rPr>
        <w:t>more pessimistic about the future of safety (</w:t>
      </w:r>
      <w:r>
        <w:rPr>
          <w:rFonts w:ascii="Segoe UI" w:hAnsi="Segoe UI" w:cs="Segoe UI"/>
          <w:sz w:val="20"/>
          <w:szCs w:val="20"/>
        </w:rPr>
        <w:t>43, 38</w:t>
      </w:r>
      <w:r w:rsidR="00F17F51">
        <w:rPr>
          <w:rFonts w:ascii="Segoe UI" w:hAnsi="Segoe UI" w:cs="Segoe UI"/>
          <w:sz w:val="20"/>
          <w:szCs w:val="20"/>
        </w:rPr>
        <w:t>)</w:t>
      </w:r>
      <w:r w:rsidR="00F17F51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F17F51">
        <w:rPr>
          <w:rFonts w:ascii="Segoe UI" w:hAnsi="Segoe UI" w:cs="Segoe UI"/>
          <w:sz w:val="20"/>
          <w:szCs w:val="20"/>
        </w:rPr>
        <w:t xml:space="preserve"> </w:t>
      </w:r>
      <w:r w:rsidR="006F0BF9">
        <w:rPr>
          <w:rFonts w:ascii="Segoe UI" w:hAnsi="Segoe UI" w:cs="Segoe UI"/>
          <w:sz w:val="20"/>
          <w:szCs w:val="20"/>
        </w:rPr>
        <w:t>although</w:t>
      </w:r>
      <w:r w:rsidR="006F0BF9" w:rsidRPr="006E5D8D">
        <w:rPr>
          <w:rFonts w:ascii="Segoe UI" w:hAnsi="Segoe UI" w:cs="Segoe UI"/>
          <w:sz w:val="20"/>
          <w:szCs w:val="20"/>
        </w:rPr>
        <w:t xml:space="preserve"> </w:t>
      </w:r>
      <w:r w:rsidR="006F0BF9">
        <w:rPr>
          <w:rFonts w:ascii="Segoe UI" w:hAnsi="Segoe UI" w:cs="Segoe UI"/>
          <w:sz w:val="20"/>
          <w:szCs w:val="20"/>
        </w:rPr>
        <w:t>both genders</w:t>
      </w:r>
      <w:r w:rsidR="006F464C">
        <w:rPr>
          <w:rFonts w:ascii="Segoe UI" w:hAnsi="Segoe UI" w:cs="Segoe UI"/>
          <w:sz w:val="20"/>
          <w:szCs w:val="20"/>
        </w:rPr>
        <w:t xml:space="preserve"> agreed that safety</w:t>
      </w:r>
      <w:r w:rsidR="007458A7">
        <w:rPr>
          <w:rFonts w:ascii="Segoe UI" w:hAnsi="Segoe UI" w:cs="Segoe UI"/>
          <w:sz w:val="20"/>
          <w:szCs w:val="20"/>
        </w:rPr>
        <w:t xml:space="preserve"> conditions are</w:t>
      </w:r>
      <w:r w:rsidR="006F464C">
        <w:rPr>
          <w:rFonts w:ascii="Segoe UI" w:hAnsi="Segoe UI" w:cs="Segoe UI"/>
          <w:sz w:val="20"/>
          <w:szCs w:val="20"/>
        </w:rPr>
        <w:t xml:space="preserve"> likely to be better one year from now.</w:t>
      </w:r>
    </w:p>
    <w:p w14:paraId="56AEA64F" w14:textId="3A3A3BBE" w:rsidR="00716C2B" w:rsidRPr="003863D0" w:rsidRDefault="006F0BF9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627AD">
        <w:rPr>
          <w:noProof/>
        </w:rPr>
        <w:drawing>
          <wp:anchor distT="0" distB="0" distL="114300" distR="114300" simplePos="0" relativeHeight="251716608" behindDoc="0" locked="0" layoutInCell="1" allowOverlap="1" wp14:anchorId="34E66C32" wp14:editId="2E65F770">
            <wp:simplePos x="0" y="0"/>
            <wp:positionH relativeFrom="column">
              <wp:posOffset>3665220</wp:posOffset>
            </wp:positionH>
            <wp:positionV relativeFrom="paragraph">
              <wp:posOffset>545465</wp:posOffset>
            </wp:positionV>
            <wp:extent cx="3392170" cy="24593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27AD">
        <w:rPr>
          <w:noProof/>
        </w:rPr>
        <w:drawing>
          <wp:anchor distT="0" distB="0" distL="114300" distR="114300" simplePos="0" relativeHeight="251715584" behindDoc="0" locked="0" layoutInCell="1" allowOverlap="1" wp14:anchorId="37BD05D3" wp14:editId="078C5A04">
            <wp:simplePos x="0" y="0"/>
            <wp:positionH relativeFrom="column">
              <wp:posOffset>-176530</wp:posOffset>
            </wp:positionH>
            <wp:positionV relativeFrom="paragraph">
              <wp:posOffset>539115</wp:posOffset>
            </wp:positionV>
            <wp:extent cx="3392424" cy="2130552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1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01E0" w14:textId="77777777" w:rsidR="00BA03BB" w:rsidRDefault="00BA03BB" w:rsidP="00E36286">
      <w:pPr>
        <w:spacing w:after="0" w:line="240" w:lineRule="auto"/>
      </w:pPr>
      <w:r>
        <w:separator/>
      </w:r>
    </w:p>
  </w:endnote>
  <w:endnote w:type="continuationSeparator" w:id="0">
    <w:p w14:paraId="7433E980" w14:textId="77777777" w:rsidR="00BA03BB" w:rsidRDefault="00BA03BB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01F3B99D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81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F1E5" w14:textId="77777777" w:rsidR="00BA03BB" w:rsidRDefault="00BA03BB" w:rsidP="00E36286">
      <w:pPr>
        <w:spacing w:after="0" w:line="240" w:lineRule="auto"/>
      </w:pPr>
      <w:r>
        <w:separator/>
      </w:r>
    </w:p>
  </w:footnote>
  <w:footnote w:type="continuationSeparator" w:id="0">
    <w:p w14:paraId="0CF9BC65" w14:textId="77777777" w:rsidR="00BA03BB" w:rsidRDefault="00BA03BB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  <w:footnote w:id="2">
    <w:p w14:paraId="7017B542" w14:textId="77777777" w:rsidR="00F17F51" w:rsidRPr="00466C6F" w:rsidRDefault="00F17F51" w:rsidP="00F17F51">
      <w:pPr>
        <w:pStyle w:val="FootnoteText"/>
        <w:rPr>
          <w:rFonts w:ascii="Segoe UI" w:hAnsi="Segoe UI" w:cs="Segoe U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200BC"/>
    <w:rsid w:val="00021BD6"/>
    <w:rsid w:val="00025313"/>
    <w:rsid w:val="000336F3"/>
    <w:rsid w:val="0004561C"/>
    <w:rsid w:val="00056C88"/>
    <w:rsid w:val="0005731D"/>
    <w:rsid w:val="000718F8"/>
    <w:rsid w:val="00075F45"/>
    <w:rsid w:val="000769CC"/>
    <w:rsid w:val="000773EC"/>
    <w:rsid w:val="00077835"/>
    <w:rsid w:val="000816D8"/>
    <w:rsid w:val="0009486D"/>
    <w:rsid w:val="00095E0A"/>
    <w:rsid w:val="000B2B8F"/>
    <w:rsid w:val="000B3745"/>
    <w:rsid w:val="000B5F84"/>
    <w:rsid w:val="000B6CB0"/>
    <w:rsid w:val="000C6AEB"/>
    <w:rsid w:val="000D12BC"/>
    <w:rsid w:val="000D7FBE"/>
    <w:rsid w:val="000F1585"/>
    <w:rsid w:val="000F637B"/>
    <w:rsid w:val="00101025"/>
    <w:rsid w:val="00103A0B"/>
    <w:rsid w:val="001142EF"/>
    <w:rsid w:val="001162A8"/>
    <w:rsid w:val="00116AC7"/>
    <w:rsid w:val="001204AA"/>
    <w:rsid w:val="00120A06"/>
    <w:rsid w:val="001413D2"/>
    <w:rsid w:val="0014685E"/>
    <w:rsid w:val="00152030"/>
    <w:rsid w:val="00155B1A"/>
    <w:rsid w:val="00155DE4"/>
    <w:rsid w:val="001620A3"/>
    <w:rsid w:val="001620D1"/>
    <w:rsid w:val="00174B81"/>
    <w:rsid w:val="001816A5"/>
    <w:rsid w:val="00181761"/>
    <w:rsid w:val="00181F2B"/>
    <w:rsid w:val="001921C1"/>
    <w:rsid w:val="0019612D"/>
    <w:rsid w:val="001A2CFF"/>
    <w:rsid w:val="001C2075"/>
    <w:rsid w:val="001C2148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12827"/>
    <w:rsid w:val="00217AD8"/>
    <w:rsid w:val="002253DB"/>
    <w:rsid w:val="00230CCF"/>
    <w:rsid w:val="00236FFF"/>
    <w:rsid w:val="00244A86"/>
    <w:rsid w:val="00246815"/>
    <w:rsid w:val="00252D79"/>
    <w:rsid w:val="002543B0"/>
    <w:rsid w:val="00270FD6"/>
    <w:rsid w:val="002A288C"/>
    <w:rsid w:val="002A4530"/>
    <w:rsid w:val="002A67B7"/>
    <w:rsid w:val="002B2C41"/>
    <w:rsid w:val="002B2C6D"/>
    <w:rsid w:val="002B63B1"/>
    <w:rsid w:val="002B733D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1346"/>
    <w:rsid w:val="00313F4D"/>
    <w:rsid w:val="00314C05"/>
    <w:rsid w:val="0032474F"/>
    <w:rsid w:val="0032702E"/>
    <w:rsid w:val="00327862"/>
    <w:rsid w:val="0033390D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7561D"/>
    <w:rsid w:val="00385A2B"/>
    <w:rsid w:val="003863D0"/>
    <w:rsid w:val="00390DD1"/>
    <w:rsid w:val="003A7A74"/>
    <w:rsid w:val="003B1776"/>
    <w:rsid w:val="003B1AB3"/>
    <w:rsid w:val="003B3C9D"/>
    <w:rsid w:val="003C0AA3"/>
    <w:rsid w:val="003C45C9"/>
    <w:rsid w:val="003C5762"/>
    <w:rsid w:val="003C5B56"/>
    <w:rsid w:val="003C5C32"/>
    <w:rsid w:val="003C71AA"/>
    <w:rsid w:val="003D437A"/>
    <w:rsid w:val="003E1029"/>
    <w:rsid w:val="003E30EF"/>
    <w:rsid w:val="003E3604"/>
    <w:rsid w:val="003E72A8"/>
    <w:rsid w:val="003F5DA1"/>
    <w:rsid w:val="003F739E"/>
    <w:rsid w:val="00401D8C"/>
    <w:rsid w:val="0041268B"/>
    <w:rsid w:val="00415524"/>
    <w:rsid w:val="00416F79"/>
    <w:rsid w:val="00421D39"/>
    <w:rsid w:val="004278A7"/>
    <w:rsid w:val="004337AB"/>
    <w:rsid w:val="004343E4"/>
    <w:rsid w:val="00442A8F"/>
    <w:rsid w:val="004522FD"/>
    <w:rsid w:val="004609BF"/>
    <w:rsid w:val="004623F7"/>
    <w:rsid w:val="0046598A"/>
    <w:rsid w:val="00466C6F"/>
    <w:rsid w:val="004673AB"/>
    <w:rsid w:val="004726D6"/>
    <w:rsid w:val="0047282D"/>
    <w:rsid w:val="004848DF"/>
    <w:rsid w:val="00485BF4"/>
    <w:rsid w:val="004A342D"/>
    <w:rsid w:val="004A4F7E"/>
    <w:rsid w:val="004B0BBF"/>
    <w:rsid w:val="004C084C"/>
    <w:rsid w:val="004C3325"/>
    <w:rsid w:val="004C78EF"/>
    <w:rsid w:val="004D1077"/>
    <w:rsid w:val="004E0D51"/>
    <w:rsid w:val="004E4982"/>
    <w:rsid w:val="004E5379"/>
    <w:rsid w:val="004F13F8"/>
    <w:rsid w:val="004F470F"/>
    <w:rsid w:val="00503AF8"/>
    <w:rsid w:val="00525DA5"/>
    <w:rsid w:val="00527718"/>
    <w:rsid w:val="005309C7"/>
    <w:rsid w:val="005343DB"/>
    <w:rsid w:val="00534E0A"/>
    <w:rsid w:val="00535E51"/>
    <w:rsid w:val="00541FC3"/>
    <w:rsid w:val="00552A1D"/>
    <w:rsid w:val="00553AC8"/>
    <w:rsid w:val="00554207"/>
    <w:rsid w:val="005627AD"/>
    <w:rsid w:val="005659CF"/>
    <w:rsid w:val="005715A2"/>
    <w:rsid w:val="005730BA"/>
    <w:rsid w:val="00582DDF"/>
    <w:rsid w:val="005840B3"/>
    <w:rsid w:val="005843C8"/>
    <w:rsid w:val="00585231"/>
    <w:rsid w:val="005869E7"/>
    <w:rsid w:val="0059127C"/>
    <w:rsid w:val="005950CC"/>
    <w:rsid w:val="00597E1B"/>
    <w:rsid w:val="005A0679"/>
    <w:rsid w:val="005A580B"/>
    <w:rsid w:val="005A591C"/>
    <w:rsid w:val="005B076D"/>
    <w:rsid w:val="005B3FE3"/>
    <w:rsid w:val="005B4764"/>
    <w:rsid w:val="005B5F67"/>
    <w:rsid w:val="005C01B5"/>
    <w:rsid w:val="005C1C1F"/>
    <w:rsid w:val="005C7EB5"/>
    <w:rsid w:val="005D38E5"/>
    <w:rsid w:val="005D78B5"/>
    <w:rsid w:val="005D7EA9"/>
    <w:rsid w:val="005F2142"/>
    <w:rsid w:val="005F2D70"/>
    <w:rsid w:val="005F5479"/>
    <w:rsid w:val="00601D79"/>
    <w:rsid w:val="00604BCE"/>
    <w:rsid w:val="006115F6"/>
    <w:rsid w:val="0062059C"/>
    <w:rsid w:val="00622269"/>
    <w:rsid w:val="006269B7"/>
    <w:rsid w:val="0063009B"/>
    <w:rsid w:val="00632FDB"/>
    <w:rsid w:val="006336B7"/>
    <w:rsid w:val="00640847"/>
    <w:rsid w:val="0065056A"/>
    <w:rsid w:val="00662DDD"/>
    <w:rsid w:val="00663E62"/>
    <w:rsid w:val="00667262"/>
    <w:rsid w:val="006743C3"/>
    <w:rsid w:val="00674CB0"/>
    <w:rsid w:val="00675AF6"/>
    <w:rsid w:val="00675B91"/>
    <w:rsid w:val="00676A6F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5D8D"/>
    <w:rsid w:val="006E6A7B"/>
    <w:rsid w:val="006F0BF9"/>
    <w:rsid w:val="006F1FC8"/>
    <w:rsid w:val="006F464C"/>
    <w:rsid w:val="006F75B0"/>
    <w:rsid w:val="007009E5"/>
    <w:rsid w:val="007066F1"/>
    <w:rsid w:val="00711186"/>
    <w:rsid w:val="007119B6"/>
    <w:rsid w:val="00716C2B"/>
    <w:rsid w:val="00717BB6"/>
    <w:rsid w:val="00722139"/>
    <w:rsid w:val="007242A3"/>
    <w:rsid w:val="0072738F"/>
    <w:rsid w:val="00727A22"/>
    <w:rsid w:val="00735985"/>
    <w:rsid w:val="00742381"/>
    <w:rsid w:val="007444B5"/>
    <w:rsid w:val="007458A7"/>
    <w:rsid w:val="007461F5"/>
    <w:rsid w:val="007569ED"/>
    <w:rsid w:val="00760359"/>
    <w:rsid w:val="007724C4"/>
    <w:rsid w:val="00773CB5"/>
    <w:rsid w:val="00775661"/>
    <w:rsid w:val="007804D8"/>
    <w:rsid w:val="00781EA8"/>
    <w:rsid w:val="00782CE9"/>
    <w:rsid w:val="00784998"/>
    <w:rsid w:val="00785E34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7E74"/>
    <w:rsid w:val="007C4AEC"/>
    <w:rsid w:val="007C4CB2"/>
    <w:rsid w:val="007C5AB6"/>
    <w:rsid w:val="007D1968"/>
    <w:rsid w:val="007D5E2F"/>
    <w:rsid w:val="007E412F"/>
    <w:rsid w:val="007F229B"/>
    <w:rsid w:val="007F355A"/>
    <w:rsid w:val="007F3C31"/>
    <w:rsid w:val="007F7E7F"/>
    <w:rsid w:val="00800E1D"/>
    <w:rsid w:val="00805FD3"/>
    <w:rsid w:val="00807D0E"/>
    <w:rsid w:val="00810785"/>
    <w:rsid w:val="00817E6D"/>
    <w:rsid w:val="00820959"/>
    <w:rsid w:val="00821F5C"/>
    <w:rsid w:val="00823F17"/>
    <w:rsid w:val="008313B6"/>
    <w:rsid w:val="00831BE6"/>
    <w:rsid w:val="00843EBC"/>
    <w:rsid w:val="00844E18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39A4"/>
    <w:rsid w:val="00897ED2"/>
    <w:rsid w:val="008A37C8"/>
    <w:rsid w:val="008B276C"/>
    <w:rsid w:val="008B4194"/>
    <w:rsid w:val="008B455F"/>
    <w:rsid w:val="008B4C7E"/>
    <w:rsid w:val="008C0A9F"/>
    <w:rsid w:val="008C14C4"/>
    <w:rsid w:val="008D0C6D"/>
    <w:rsid w:val="008D255C"/>
    <w:rsid w:val="008D2C25"/>
    <w:rsid w:val="008E3D85"/>
    <w:rsid w:val="008F1475"/>
    <w:rsid w:val="008F4989"/>
    <w:rsid w:val="00901FA8"/>
    <w:rsid w:val="00911A62"/>
    <w:rsid w:val="009128FD"/>
    <w:rsid w:val="00914459"/>
    <w:rsid w:val="00917A34"/>
    <w:rsid w:val="00920155"/>
    <w:rsid w:val="009203CB"/>
    <w:rsid w:val="00920C85"/>
    <w:rsid w:val="00921350"/>
    <w:rsid w:val="00924176"/>
    <w:rsid w:val="009259A4"/>
    <w:rsid w:val="009300FC"/>
    <w:rsid w:val="0093151C"/>
    <w:rsid w:val="0094038B"/>
    <w:rsid w:val="00941E6C"/>
    <w:rsid w:val="00943533"/>
    <w:rsid w:val="0095185B"/>
    <w:rsid w:val="00951A0D"/>
    <w:rsid w:val="009545D7"/>
    <w:rsid w:val="00955FF1"/>
    <w:rsid w:val="009602E8"/>
    <w:rsid w:val="009715DE"/>
    <w:rsid w:val="00971D1E"/>
    <w:rsid w:val="00974818"/>
    <w:rsid w:val="0097536D"/>
    <w:rsid w:val="009807AE"/>
    <w:rsid w:val="00992057"/>
    <w:rsid w:val="00997F73"/>
    <w:rsid w:val="009A0800"/>
    <w:rsid w:val="009A24A8"/>
    <w:rsid w:val="009A452F"/>
    <w:rsid w:val="009C3AF6"/>
    <w:rsid w:val="009E4D18"/>
    <w:rsid w:val="009E56FC"/>
    <w:rsid w:val="009F1C11"/>
    <w:rsid w:val="009F5123"/>
    <w:rsid w:val="00A003F7"/>
    <w:rsid w:val="00A04953"/>
    <w:rsid w:val="00A05B53"/>
    <w:rsid w:val="00A14AF4"/>
    <w:rsid w:val="00A2355C"/>
    <w:rsid w:val="00A2404D"/>
    <w:rsid w:val="00A30F51"/>
    <w:rsid w:val="00A31FE7"/>
    <w:rsid w:val="00A32D22"/>
    <w:rsid w:val="00A33EB6"/>
    <w:rsid w:val="00A35685"/>
    <w:rsid w:val="00A3706B"/>
    <w:rsid w:val="00A527DD"/>
    <w:rsid w:val="00A56D1D"/>
    <w:rsid w:val="00A61468"/>
    <w:rsid w:val="00A61C40"/>
    <w:rsid w:val="00A649EF"/>
    <w:rsid w:val="00A72858"/>
    <w:rsid w:val="00A8657B"/>
    <w:rsid w:val="00AA0953"/>
    <w:rsid w:val="00AA20C0"/>
    <w:rsid w:val="00AA536A"/>
    <w:rsid w:val="00AA6731"/>
    <w:rsid w:val="00AB0654"/>
    <w:rsid w:val="00AB065E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6E2F"/>
    <w:rsid w:val="00AE3901"/>
    <w:rsid w:val="00AE3CC6"/>
    <w:rsid w:val="00AE4328"/>
    <w:rsid w:val="00AE63F9"/>
    <w:rsid w:val="00AF4357"/>
    <w:rsid w:val="00AF4CFF"/>
    <w:rsid w:val="00AF6842"/>
    <w:rsid w:val="00B02E86"/>
    <w:rsid w:val="00B035C4"/>
    <w:rsid w:val="00B03F5C"/>
    <w:rsid w:val="00B15408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08B"/>
    <w:rsid w:val="00B467FA"/>
    <w:rsid w:val="00B47F77"/>
    <w:rsid w:val="00B6622D"/>
    <w:rsid w:val="00B6698A"/>
    <w:rsid w:val="00B6703E"/>
    <w:rsid w:val="00B70CDB"/>
    <w:rsid w:val="00B712B7"/>
    <w:rsid w:val="00B7132D"/>
    <w:rsid w:val="00B720FA"/>
    <w:rsid w:val="00B72B4F"/>
    <w:rsid w:val="00B730B5"/>
    <w:rsid w:val="00B76105"/>
    <w:rsid w:val="00B776F4"/>
    <w:rsid w:val="00B81891"/>
    <w:rsid w:val="00B82BE4"/>
    <w:rsid w:val="00B8335B"/>
    <w:rsid w:val="00B84F04"/>
    <w:rsid w:val="00B9077E"/>
    <w:rsid w:val="00B92079"/>
    <w:rsid w:val="00B96CD4"/>
    <w:rsid w:val="00BA03BB"/>
    <w:rsid w:val="00BA4A04"/>
    <w:rsid w:val="00BB7986"/>
    <w:rsid w:val="00BC1DE4"/>
    <w:rsid w:val="00BC3ECA"/>
    <w:rsid w:val="00BD0DA1"/>
    <w:rsid w:val="00BD15F8"/>
    <w:rsid w:val="00BD1EF0"/>
    <w:rsid w:val="00BD29F5"/>
    <w:rsid w:val="00BD495E"/>
    <w:rsid w:val="00BD5909"/>
    <w:rsid w:val="00BF5800"/>
    <w:rsid w:val="00C009A7"/>
    <w:rsid w:val="00C00B43"/>
    <w:rsid w:val="00C0631E"/>
    <w:rsid w:val="00C078BD"/>
    <w:rsid w:val="00C12BD1"/>
    <w:rsid w:val="00C20775"/>
    <w:rsid w:val="00C25D9A"/>
    <w:rsid w:val="00C305D8"/>
    <w:rsid w:val="00C31158"/>
    <w:rsid w:val="00C35EBF"/>
    <w:rsid w:val="00C408CB"/>
    <w:rsid w:val="00C46EA6"/>
    <w:rsid w:val="00C535AE"/>
    <w:rsid w:val="00C54023"/>
    <w:rsid w:val="00C554EC"/>
    <w:rsid w:val="00C57F73"/>
    <w:rsid w:val="00C6580E"/>
    <w:rsid w:val="00C65AF4"/>
    <w:rsid w:val="00C662C4"/>
    <w:rsid w:val="00C66758"/>
    <w:rsid w:val="00C66A0E"/>
    <w:rsid w:val="00C7615B"/>
    <w:rsid w:val="00C9124F"/>
    <w:rsid w:val="00C92F21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E2269"/>
    <w:rsid w:val="00CE3696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30F8"/>
    <w:rsid w:val="00D2486A"/>
    <w:rsid w:val="00D274DF"/>
    <w:rsid w:val="00D363F7"/>
    <w:rsid w:val="00D36725"/>
    <w:rsid w:val="00D37935"/>
    <w:rsid w:val="00D4265B"/>
    <w:rsid w:val="00D5134E"/>
    <w:rsid w:val="00D5679E"/>
    <w:rsid w:val="00D62561"/>
    <w:rsid w:val="00D65822"/>
    <w:rsid w:val="00D67162"/>
    <w:rsid w:val="00D72482"/>
    <w:rsid w:val="00D72F25"/>
    <w:rsid w:val="00D824A0"/>
    <w:rsid w:val="00D86B6D"/>
    <w:rsid w:val="00D94411"/>
    <w:rsid w:val="00D97575"/>
    <w:rsid w:val="00DA04BE"/>
    <w:rsid w:val="00DA0CAD"/>
    <w:rsid w:val="00DA2557"/>
    <w:rsid w:val="00DA7912"/>
    <w:rsid w:val="00DB0C59"/>
    <w:rsid w:val="00DB21FD"/>
    <w:rsid w:val="00DB232F"/>
    <w:rsid w:val="00DB2BC9"/>
    <w:rsid w:val="00DB3A9E"/>
    <w:rsid w:val="00DC1E61"/>
    <w:rsid w:val="00DC3781"/>
    <w:rsid w:val="00DC3B42"/>
    <w:rsid w:val="00DC42E2"/>
    <w:rsid w:val="00DC44AA"/>
    <w:rsid w:val="00DC6BE2"/>
    <w:rsid w:val="00DD3898"/>
    <w:rsid w:val="00DE02A8"/>
    <w:rsid w:val="00DE1696"/>
    <w:rsid w:val="00DE1D72"/>
    <w:rsid w:val="00DE4079"/>
    <w:rsid w:val="00DE4580"/>
    <w:rsid w:val="00DE70E0"/>
    <w:rsid w:val="00DF509C"/>
    <w:rsid w:val="00E0435D"/>
    <w:rsid w:val="00E0500A"/>
    <w:rsid w:val="00E058F1"/>
    <w:rsid w:val="00E05C99"/>
    <w:rsid w:val="00E06D0C"/>
    <w:rsid w:val="00E21BF2"/>
    <w:rsid w:val="00E263EE"/>
    <w:rsid w:val="00E33E98"/>
    <w:rsid w:val="00E34B61"/>
    <w:rsid w:val="00E36286"/>
    <w:rsid w:val="00E751FE"/>
    <w:rsid w:val="00E76C94"/>
    <w:rsid w:val="00E773BA"/>
    <w:rsid w:val="00E802F0"/>
    <w:rsid w:val="00E83BE1"/>
    <w:rsid w:val="00E87DB7"/>
    <w:rsid w:val="00E95FB5"/>
    <w:rsid w:val="00E95FCB"/>
    <w:rsid w:val="00EA2A64"/>
    <w:rsid w:val="00EB33A1"/>
    <w:rsid w:val="00EB6B2C"/>
    <w:rsid w:val="00EC4A9A"/>
    <w:rsid w:val="00EC5ECF"/>
    <w:rsid w:val="00EC6F8B"/>
    <w:rsid w:val="00EC709F"/>
    <w:rsid w:val="00EC7164"/>
    <w:rsid w:val="00EC7DA1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7BAC"/>
    <w:rsid w:val="00F1151F"/>
    <w:rsid w:val="00F128BC"/>
    <w:rsid w:val="00F17EA4"/>
    <w:rsid w:val="00F17F51"/>
    <w:rsid w:val="00F30298"/>
    <w:rsid w:val="00F31F01"/>
    <w:rsid w:val="00F33E00"/>
    <w:rsid w:val="00F350B0"/>
    <w:rsid w:val="00F3704E"/>
    <w:rsid w:val="00F37ACE"/>
    <w:rsid w:val="00F42899"/>
    <w:rsid w:val="00F60061"/>
    <w:rsid w:val="00F67F2D"/>
    <w:rsid w:val="00F701B9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E25"/>
    <w:rsid w:val="00FB3F61"/>
    <w:rsid w:val="00FC118E"/>
    <w:rsid w:val="00FC31A5"/>
    <w:rsid w:val="00FC5B57"/>
    <w:rsid w:val="00FD3479"/>
    <w:rsid w:val="00FD3F32"/>
    <w:rsid w:val="00FE046A"/>
    <w:rsid w:val="00FE1921"/>
    <w:rsid w:val="00FF03DE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429A-CA50-4A1B-B8D3-9F0AD945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2017-01-03T18:04:00Z</dcterms:created>
  <dcterms:modified xsi:type="dcterms:W3CDTF">2017-01-03T18:04:00Z</dcterms:modified>
</cp:coreProperties>
</file>