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268239F1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293BF625" w:rsidR="003602B1" w:rsidRDefault="00A23D21" w:rsidP="00A23D2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EBCE8" wp14:editId="59821DD2">
                                  <wp:extent cx="2484755" cy="532130"/>
                                  <wp:effectExtent l="0" t="0" r="0" b="127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293BF625" w:rsidR="003602B1" w:rsidRDefault="00A23D21" w:rsidP="00A23D2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EBCE8" wp14:editId="59821DD2">
                            <wp:extent cx="2484755" cy="532130"/>
                            <wp:effectExtent l="0" t="0" r="0" b="127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7461F5">
        <w:rPr>
          <w:rFonts w:ascii="Segoe UI" w:hAnsi="Segoe UI" w:cs="Segoe UI"/>
          <w:b/>
          <w:sz w:val="32"/>
          <w:szCs w:val="32"/>
        </w:rPr>
        <w:t>Australia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43ABFC6B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37FF7288" w:rsidR="00DE70E0" w:rsidRDefault="00D94411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2E0E1F61" wp14:editId="4DFF5DE2">
            <wp:simplePos x="0" y="0"/>
            <wp:positionH relativeFrom="column">
              <wp:posOffset>3749040</wp:posOffset>
            </wp:positionH>
            <wp:positionV relativeFrom="paragraph">
              <wp:posOffset>56515</wp:posOffset>
            </wp:positionV>
            <wp:extent cx="3392424" cy="20756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5A7B48D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495E80EF" w:rsidR="00B43178" w:rsidRPr="00F31F01" w:rsidRDefault="002077E7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 xml:space="preserve">Australia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2</w:t>
      </w:r>
      <w:r w:rsidRPr="002077E7">
        <w:rPr>
          <w:rFonts w:ascii="Segoe UI" w:hAnsi="Segoe UI" w:cs="Segoe UI"/>
          <w:b/>
          <w:sz w:val="28"/>
          <w:szCs w:val="28"/>
          <w:vertAlign w:val="superscript"/>
        </w:rPr>
        <w:t>nd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6392859D" w:rsidR="00F91B89" w:rsidRDefault="00573B9E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51% of Australians reported </w:t>
      </w:r>
      <w:r w:rsidR="002A4530">
        <w:rPr>
          <w:rFonts w:ascii="Segoe UI" w:hAnsi="Segoe UI" w:cs="Segoe UI"/>
          <w:sz w:val="20"/>
          <w:szCs w:val="20"/>
        </w:rPr>
        <w:t xml:space="preserve">having ever been exposed to an online risk. Only the </w:t>
      </w:r>
      <w:r w:rsidR="00C973E0">
        <w:rPr>
          <w:rFonts w:ascii="Segoe UI" w:hAnsi="Segoe UI" w:cs="Segoe UI"/>
          <w:sz w:val="20"/>
          <w:szCs w:val="20"/>
        </w:rPr>
        <w:t>United Kingdom</w:t>
      </w:r>
      <w:r w:rsidR="002A4530">
        <w:rPr>
          <w:rFonts w:ascii="Segoe UI" w:hAnsi="Segoe UI" w:cs="Segoe UI"/>
          <w:sz w:val="20"/>
          <w:szCs w:val="20"/>
        </w:rPr>
        <w:t xml:space="preserve"> had a lower DCI score</w:t>
      </w:r>
      <w:r w:rsidR="00C973E0">
        <w:rPr>
          <w:rFonts w:ascii="Segoe UI" w:hAnsi="Segoe UI" w:cs="Segoe UI"/>
          <w:sz w:val="20"/>
          <w:szCs w:val="20"/>
        </w:rPr>
        <w:t xml:space="preserve">. Australia scored below international </w:t>
      </w:r>
      <w:r>
        <w:rPr>
          <w:rFonts w:ascii="Segoe UI" w:hAnsi="Segoe UI" w:cs="Segoe UI"/>
          <w:sz w:val="20"/>
          <w:szCs w:val="20"/>
        </w:rPr>
        <w:t>averages</w:t>
      </w:r>
      <w:r w:rsidR="00C973E0">
        <w:rPr>
          <w:rFonts w:ascii="Segoe UI" w:hAnsi="Segoe UI" w:cs="Segoe UI"/>
          <w:sz w:val="20"/>
          <w:szCs w:val="20"/>
        </w:rPr>
        <w:t xml:space="preserve"> on nearly all category and individual risk</w:t>
      </w:r>
      <w:r>
        <w:rPr>
          <w:rFonts w:ascii="Segoe UI" w:hAnsi="Segoe UI" w:cs="Segoe UI"/>
          <w:sz w:val="20"/>
          <w:szCs w:val="20"/>
        </w:rPr>
        <w:t xml:space="preserve"> items </w:t>
      </w:r>
      <w:r w:rsidR="00B47859">
        <w:rPr>
          <w:rFonts w:ascii="Segoe UI" w:hAnsi="Segoe UI" w:cs="Segoe UI"/>
          <w:sz w:val="20"/>
          <w:szCs w:val="20"/>
        </w:rPr>
        <w:t>apart from</w:t>
      </w:r>
      <w:r>
        <w:rPr>
          <w:rFonts w:ascii="Segoe UI" w:hAnsi="Segoe UI" w:cs="Segoe UI"/>
          <w:sz w:val="20"/>
          <w:szCs w:val="20"/>
        </w:rPr>
        <w:t xml:space="preserve"> C</w:t>
      </w:r>
      <w:r w:rsidR="002A4530">
        <w:rPr>
          <w:rFonts w:ascii="Segoe UI" w:hAnsi="Segoe UI" w:cs="Segoe UI"/>
          <w:sz w:val="20"/>
          <w:szCs w:val="20"/>
        </w:rPr>
        <w:t>yberbullying</w:t>
      </w:r>
      <w:r w:rsidR="00C973E0">
        <w:rPr>
          <w:rFonts w:ascii="Segoe UI" w:hAnsi="Segoe UI" w:cs="Segoe UI"/>
          <w:sz w:val="20"/>
          <w:szCs w:val="20"/>
        </w:rPr>
        <w:t>.</w:t>
      </w:r>
    </w:p>
    <w:p w14:paraId="21CA0B5C" w14:textId="009F80B6" w:rsidR="00F91B89" w:rsidRPr="00AC63E9" w:rsidRDefault="00F91B89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420C255F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2A1B1B69" w:rsidR="00CD6852" w:rsidRPr="003563A9" w:rsidRDefault="00BD15F8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(3</w:t>
      </w:r>
      <w:r w:rsidR="007066F1">
        <w:rPr>
          <w:rFonts w:ascii="Segoe UI" w:hAnsi="Segoe UI" w:cs="Segoe UI"/>
          <w:sz w:val="20"/>
          <w:szCs w:val="20"/>
        </w:rPr>
        <w:t>5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 xml:space="preserve">risks which </w:t>
      </w:r>
      <w:r>
        <w:rPr>
          <w:rFonts w:ascii="Segoe UI" w:hAnsi="Segoe UI" w:cs="Segoe UI"/>
          <w:sz w:val="20"/>
          <w:szCs w:val="20"/>
        </w:rPr>
        <w:t>had the highest score of any online risk</w:t>
      </w:r>
      <w:r w:rsidR="00CF119C">
        <w:rPr>
          <w:rFonts w:ascii="Segoe UI" w:hAnsi="Segoe UI" w:cs="Segoe UI"/>
          <w:sz w:val="20"/>
          <w:szCs w:val="20"/>
        </w:rPr>
        <w:t xml:space="preserve"> category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F119C">
        <w:rPr>
          <w:rFonts w:ascii="Segoe UI" w:hAnsi="Segoe UI" w:cs="Segoe UI"/>
          <w:sz w:val="20"/>
          <w:szCs w:val="20"/>
        </w:rPr>
        <w:t>The i</w:t>
      </w:r>
      <w:r w:rsidR="00AE3901">
        <w:rPr>
          <w:rFonts w:ascii="Segoe UI" w:hAnsi="Segoe UI" w:cs="Segoe UI"/>
          <w:sz w:val="20"/>
          <w:szCs w:val="20"/>
        </w:rPr>
        <w:t xml:space="preserve">ncidence of </w:t>
      </w:r>
      <w:r w:rsidR="00CF119C">
        <w:rPr>
          <w:rFonts w:ascii="Segoe UI" w:hAnsi="Segoe UI" w:cs="Segoe UI"/>
          <w:sz w:val="20"/>
          <w:szCs w:val="20"/>
        </w:rPr>
        <w:t xml:space="preserve">Intrusive risks </w:t>
      </w:r>
      <w:r w:rsidR="00573B9E">
        <w:rPr>
          <w:rFonts w:ascii="Segoe UI" w:hAnsi="Segoe UI" w:cs="Segoe UI"/>
          <w:sz w:val="20"/>
          <w:szCs w:val="20"/>
        </w:rPr>
        <w:t>was</w:t>
      </w:r>
      <w:r w:rsidR="00CF119C">
        <w:rPr>
          <w:rFonts w:ascii="Segoe UI" w:hAnsi="Segoe UI" w:cs="Segoe UI"/>
          <w:sz w:val="20"/>
          <w:szCs w:val="20"/>
        </w:rPr>
        <w:t xml:space="preserve">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7A1241">
        <w:rPr>
          <w:rFonts w:ascii="Segoe UI" w:hAnsi="Segoe UI" w:cs="Segoe UI"/>
          <w:sz w:val="20"/>
          <w:szCs w:val="20"/>
        </w:rPr>
        <w:t>lower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(40%, 51%)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4D240CAE" w:rsidR="00314C05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7A42B21A" w:rsidR="007A1241" w:rsidRPr="007A1241" w:rsidRDefault="00AE3901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Treated mean </w:t>
      </w:r>
      <w:r w:rsidR="00831BE6">
        <w:rPr>
          <w:rFonts w:ascii="Segoe UI" w:hAnsi="Segoe UI" w:cs="Segoe UI"/>
          <w:sz w:val="20"/>
          <w:szCs w:val="20"/>
        </w:rPr>
        <w:t>(2</w:t>
      </w:r>
      <w:r w:rsidR="00CF119C">
        <w:rPr>
          <w:rFonts w:ascii="Segoe UI" w:hAnsi="Segoe UI" w:cs="Segoe UI"/>
          <w:sz w:val="20"/>
          <w:szCs w:val="20"/>
        </w:rPr>
        <w:t>5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was the leading Behavioral risk </w:t>
      </w:r>
      <w:r w:rsidR="00BD15F8">
        <w:rPr>
          <w:rFonts w:ascii="Segoe UI" w:hAnsi="Segoe UI" w:cs="Segoe UI"/>
          <w:sz w:val="20"/>
          <w:szCs w:val="20"/>
        </w:rPr>
        <w:t xml:space="preserve">and ranked </w:t>
      </w:r>
      <w:r w:rsidR="00BC1DE4">
        <w:rPr>
          <w:rFonts w:ascii="Segoe UI" w:hAnsi="Segoe UI" w:cs="Segoe UI"/>
          <w:sz w:val="20"/>
          <w:szCs w:val="20"/>
        </w:rPr>
        <w:t xml:space="preserve">second </w:t>
      </w:r>
      <w:r w:rsidR="00BD15F8">
        <w:rPr>
          <w:rFonts w:ascii="Segoe UI" w:hAnsi="Segoe UI" w:cs="Segoe UI"/>
          <w:sz w:val="20"/>
          <w:szCs w:val="20"/>
        </w:rPr>
        <w:t>overall among all online risks.</w:t>
      </w:r>
    </w:p>
    <w:p w14:paraId="3D342AC0" w14:textId="75458EE8" w:rsidR="003A7A74" w:rsidRPr="00B275B3" w:rsidRDefault="007A1241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Trolling </w:t>
      </w:r>
      <w:r w:rsidR="00B275B3">
        <w:rPr>
          <w:rFonts w:ascii="Segoe UI" w:hAnsi="Segoe UI" w:cs="Segoe UI"/>
          <w:sz w:val="20"/>
          <w:szCs w:val="20"/>
        </w:rPr>
        <w:t xml:space="preserve">(20%) </w:t>
      </w:r>
      <w:r>
        <w:rPr>
          <w:rFonts w:ascii="Segoe UI" w:hAnsi="Segoe UI" w:cs="Segoe UI"/>
          <w:sz w:val="20"/>
          <w:szCs w:val="20"/>
        </w:rPr>
        <w:t xml:space="preserve">and Online Harassment </w:t>
      </w:r>
      <w:r w:rsidR="00B275B3">
        <w:rPr>
          <w:rFonts w:ascii="Segoe UI" w:hAnsi="Segoe UI" w:cs="Segoe UI"/>
          <w:sz w:val="20"/>
          <w:szCs w:val="20"/>
        </w:rPr>
        <w:t xml:space="preserve">(14%) </w:t>
      </w:r>
      <w:r w:rsidR="003A7A74">
        <w:rPr>
          <w:rFonts w:ascii="Segoe UI" w:hAnsi="Segoe UI" w:cs="Segoe UI"/>
          <w:sz w:val="20"/>
          <w:szCs w:val="20"/>
        </w:rPr>
        <w:t>were among the top five highest online risks.</w:t>
      </w:r>
    </w:p>
    <w:p w14:paraId="4E2FD717" w14:textId="62AA02E3" w:rsidR="00CD6852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Sexual</w:t>
      </w:r>
    </w:p>
    <w:p w14:paraId="6E9A8E5C" w14:textId="0CFA9C42" w:rsidR="00EC709F" w:rsidRPr="00EC709F" w:rsidRDefault="00EC709F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Australians had a lower chance of experiencing any Sexual online risk compared to international</w:t>
      </w:r>
      <w:r w:rsidR="00C25D9A">
        <w:rPr>
          <w:rFonts w:ascii="Segoe UI" w:hAnsi="Segoe UI" w:cs="Segoe UI"/>
          <w:sz w:val="20"/>
          <w:szCs w:val="20"/>
        </w:rPr>
        <w:t xml:space="preserve"> (17%, 31%)</w:t>
      </w:r>
      <w:r>
        <w:rPr>
          <w:rFonts w:ascii="Segoe UI" w:hAnsi="Segoe UI" w:cs="Segoe UI"/>
          <w:sz w:val="20"/>
          <w:szCs w:val="20"/>
        </w:rPr>
        <w:t xml:space="preserve">.  </w:t>
      </w:r>
    </w:p>
    <w:p w14:paraId="2FE85E0A" w14:textId="72ACAAA8" w:rsidR="00365D57" w:rsidRPr="00EC709F" w:rsidRDefault="00365D57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AF6842">
        <w:rPr>
          <w:rFonts w:ascii="Segoe UI" w:hAnsi="Segoe UI" w:cs="Segoe UI"/>
          <w:sz w:val="20"/>
          <w:szCs w:val="20"/>
        </w:rPr>
        <w:t xml:space="preserve">nwanted sexting </w:t>
      </w:r>
      <w:r>
        <w:rPr>
          <w:rFonts w:ascii="Segoe UI" w:hAnsi="Segoe UI" w:cs="Segoe UI"/>
          <w:sz w:val="20"/>
          <w:szCs w:val="20"/>
        </w:rPr>
        <w:t>(received</w:t>
      </w:r>
      <w:r w:rsidR="00573B9E">
        <w:rPr>
          <w:rFonts w:ascii="Segoe UI" w:hAnsi="Segoe UI" w:cs="Segoe UI"/>
          <w:sz w:val="20"/>
          <w:szCs w:val="20"/>
        </w:rPr>
        <w:t xml:space="preserve"> or sent, 14</w:t>
      </w:r>
      <w:r w:rsidR="00B275B3">
        <w:rPr>
          <w:rFonts w:ascii="Segoe UI" w:hAnsi="Segoe UI" w:cs="Segoe UI"/>
          <w:sz w:val="20"/>
          <w:szCs w:val="20"/>
        </w:rPr>
        <w:t xml:space="preserve">%) and </w:t>
      </w:r>
      <w:r w:rsidR="00573B9E">
        <w:rPr>
          <w:rFonts w:ascii="Segoe UI" w:hAnsi="Segoe UI" w:cs="Segoe UI"/>
          <w:sz w:val="20"/>
          <w:szCs w:val="20"/>
        </w:rPr>
        <w:t>S</w:t>
      </w:r>
      <w:r w:rsidR="00B275B3">
        <w:rPr>
          <w:rFonts w:ascii="Segoe UI" w:hAnsi="Segoe UI" w:cs="Segoe UI"/>
          <w:sz w:val="20"/>
          <w:szCs w:val="20"/>
        </w:rPr>
        <w:t>exual solicitation (8%) were</w:t>
      </w:r>
      <w:r w:rsidR="00C25D9A">
        <w:rPr>
          <w:rFonts w:ascii="Segoe UI" w:hAnsi="Segoe UI" w:cs="Segoe UI"/>
          <w:sz w:val="20"/>
          <w:szCs w:val="20"/>
        </w:rPr>
        <w:t xml:space="preserve"> the</w:t>
      </w:r>
      <w:r w:rsidR="00B275B3">
        <w:rPr>
          <w:rFonts w:ascii="Segoe UI" w:hAnsi="Segoe UI" w:cs="Segoe UI"/>
          <w:sz w:val="20"/>
          <w:szCs w:val="20"/>
        </w:rPr>
        <w:t xml:space="preserve"> </w:t>
      </w:r>
      <w:r w:rsidR="00AF6842">
        <w:rPr>
          <w:rFonts w:ascii="Segoe UI" w:hAnsi="Segoe UI" w:cs="Segoe UI"/>
          <w:sz w:val="20"/>
          <w:szCs w:val="20"/>
        </w:rPr>
        <w:t>most common sexual risk</w:t>
      </w:r>
      <w:r w:rsidR="00EC709F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723D80B7" w14:textId="4CA932DD" w:rsidR="0065056A" w:rsidRPr="003863D0" w:rsidRDefault="0065056A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Reputational</w:t>
      </w:r>
    </w:p>
    <w:p w14:paraId="7A3A6A81" w14:textId="7B28FAC9" w:rsidR="0065056A" w:rsidRPr="00F31F01" w:rsidRDefault="00C25D9A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People encountered </w:t>
      </w:r>
      <w:r w:rsidR="00F31F01" w:rsidRPr="00F31F01">
        <w:rPr>
          <w:rFonts w:ascii="Segoe UI" w:hAnsi="Segoe UI" w:cs="Segoe UI"/>
          <w:sz w:val="20"/>
          <w:szCs w:val="20"/>
        </w:rPr>
        <w:t xml:space="preserve">Reputational risks </w:t>
      </w:r>
      <w:r>
        <w:rPr>
          <w:rFonts w:ascii="Segoe UI" w:hAnsi="Segoe UI" w:cs="Segoe UI"/>
          <w:sz w:val="20"/>
          <w:szCs w:val="20"/>
        </w:rPr>
        <w:t xml:space="preserve">at a lower rate </w:t>
      </w:r>
      <w:r w:rsidR="00573B9E">
        <w:rPr>
          <w:rFonts w:ascii="Segoe UI" w:hAnsi="Segoe UI" w:cs="Segoe UI"/>
          <w:sz w:val="20"/>
          <w:szCs w:val="20"/>
        </w:rPr>
        <w:t>than</w:t>
      </w:r>
      <w:r w:rsidR="00F31F01" w:rsidRPr="00F31F01">
        <w:rPr>
          <w:rFonts w:ascii="Segoe UI" w:hAnsi="Segoe UI" w:cs="Segoe UI"/>
          <w:sz w:val="20"/>
          <w:szCs w:val="20"/>
        </w:rPr>
        <w:t xml:space="preserve">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831BE6">
        <w:rPr>
          <w:rFonts w:ascii="Segoe UI" w:hAnsi="Segoe UI" w:cs="Segoe UI"/>
          <w:sz w:val="20"/>
          <w:szCs w:val="20"/>
        </w:rPr>
        <w:t xml:space="preserve"> (1</w:t>
      </w:r>
      <w:r>
        <w:rPr>
          <w:rFonts w:ascii="Segoe UI" w:hAnsi="Segoe UI" w:cs="Segoe UI"/>
          <w:sz w:val="20"/>
          <w:szCs w:val="20"/>
        </w:rPr>
        <w:t>1</w:t>
      </w:r>
      <w:r w:rsidR="00831BE6">
        <w:rPr>
          <w:rFonts w:ascii="Segoe UI" w:hAnsi="Segoe UI" w:cs="Segoe UI"/>
          <w:sz w:val="20"/>
          <w:szCs w:val="20"/>
        </w:rPr>
        <w:t xml:space="preserve">% vs. 19%) </w:t>
      </w:r>
      <w:r w:rsidR="00F31F01" w:rsidRPr="00F31F01">
        <w:rPr>
          <w:rFonts w:ascii="Segoe UI" w:hAnsi="Segoe UI" w:cs="Segoe UI"/>
          <w:sz w:val="20"/>
          <w:szCs w:val="20"/>
        </w:rPr>
        <w:t xml:space="preserve">led by </w:t>
      </w:r>
      <w:r w:rsidR="00573B9E">
        <w:rPr>
          <w:rFonts w:ascii="Segoe UI" w:hAnsi="Segoe UI" w:cs="Segoe UI"/>
          <w:sz w:val="20"/>
          <w:szCs w:val="20"/>
        </w:rPr>
        <w:t>D</w:t>
      </w:r>
      <w:r w:rsidR="00F31F01" w:rsidRPr="00F31F01">
        <w:rPr>
          <w:rFonts w:ascii="Segoe UI" w:hAnsi="Segoe UI" w:cs="Segoe UI"/>
          <w:sz w:val="20"/>
          <w:szCs w:val="20"/>
        </w:rPr>
        <w:t>amage to personal reputation</w:t>
      </w:r>
      <w:r w:rsidR="00573B9E">
        <w:rPr>
          <w:rFonts w:ascii="Segoe UI" w:hAnsi="Segoe UI" w:cs="Segoe UI"/>
          <w:sz w:val="20"/>
          <w:szCs w:val="20"/>
        </w:rPr>
        <w:t xml:space="preserve"> (6%) and D</w:t>
      </w:r>
      <w:r>
        <w:rPr>
          <w:rFonts w:ascii="Segoe UI" w:hAnsi="Segoe UI" w:cs="Segoe UI"/>
          <w:sz w:val="20"/>
          <w:szCs w:val="20"/>
        </w:rPr>
        <w:t>oxing (6%)</w:t>
      </w:r>
      <w:r w:rsidR="00F31F01" w:rsidRPr="00F31F01">
        <w:rPr>
          <w:rFonts w:ascii="Segoe UI" w:hAnsi="Segoe UI" w:cs="Segoe UI"/>
          <w:sz w:val="20"/>
          <w:szCs w:val="20"/>
        </w:rPr>
        <w:t>.</w:t>
      </w:r>
    </w:p>
    <w:p w14:paraId="683A8671" w14:textId="42A076D1" w:rsidR="004A4F7E" w:rsidRDefault="004A4F7E" w:rsidP="002A4530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Segoe UI" w:hAnsi="Segoe UI" w:cs="Segoe UI"/>
          <w:sz w:val="20"/>
          <w:szCs w:val="20"/>
        </w:rPr>
      </w:pPr>
    </w:p>
    <w:p w14:paraId="284495B0" w14:textId="39F1C288" w:rsidR="004A4F7E" w:rsidRDefault="004A4F7E" w:rsidP="004A4F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A2F4558" w14:textId="498532FB" w:rsidR="007242A3" w:rsidRDefault="00976B2A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976B2A">
        <w:rPr>
          <w:noProof/>
        </w:rPr>
        <w:drawing>
          <wp:anchor distT="0" distB="0" distL="114300" distR="114300" simplePos="0" relativeHeight="251711488" behindDoc="0" locked="0" layoutInCell="1" allowOverlap="1" wp14:anchorId="2761475C" wp14:editId="13CB921E">
            <wp:simplePos x="0" y="0"/>
            <wp:positionH relativeFrom="column">
              <wp:posOffset>15240</wp:posOffset>
            </wp:positionH>
            <wp:positionV relativeFrom="page">
              <wp:posOffset>5386705</wp:posOffset>
            </wp:positionV>
            <wp:extent cx="3392424" cy="3968496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5B4F8D1A" w:rsidR="00821F5C" w:rsidRPr="00D36725" w:rsidRDefault="006C65CF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6C65CF">
        <w:rPr>
          <w:rFonts w:ascii="Segoe UI" w:hAnsi="Segoe UI" w:cs="Segoe U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3D7A89A5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CF2D7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7066F1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30070" behindDoc="0" locked="0" layoutInCell="1" allowOverlap="1" wp14:anchorId="131BDF78" wp14:editId="3829E490">
            <wp:simplePos x="0" y="0"/>
            <wp:positionH relativeFrom="column">
              <wp:posOffset>3703320</wp:posOffset>
            </wp:positionH>
            <wp:positionV relativeFrom="paragraph">
              <wp:posOffset>449580</wp:posOffset>
            </wp:positionV>
            <wp:extent cx="3392170" cy="351091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5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3A322EAC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3BC99EF7" w:rsidR="006C36D4" w:rsidRDefault="00AA673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Nearly two-thirds of </w:t>
      </w:r>
      <w:r w:rsidR="003656A1">
        <w:rPr>
          <w:rFonts w:ascii="Segoe UI" w:hAnsi="Segoe UI" w:cs="Segoe UI"/>
          <w:sz w:val="20"/>
          <w:szCs w:val="20"/>
        </w:rPr>
        <w:t>A</w:t>
      </w:r>
      <w:r w:rsidR="00B15408">
        <w:rPr>
          <w:rFonts w:ascii="Segoe UI" w:hAnsi="Segoe UI" w:cs="Segoe UI"/>
          <w:sz w:val="20"/>
          <w:szCs w:val="20"/>
        </w:rPr>
        <w:t xml:space="preserve">ustralians </w:t>
      </w:r>
      <w:r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similar </w:t>
      </w:r>
      <w:r>
        <w:rPr>
          <w:rFonts w:ascii="Segoe UI" w:hAnsi="Segoe UI" w:cs="Segoe UI"/>
          <w:sz w:val="20"/>
          <w:szCs w:val="20"/>
        </w:rPr>
        <w:t>to 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3EC94895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>most common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AA6731">
        <w:rPr>
          <w:rFonts w:ascii="Segoe UI" w:hAnsi="Segoe UI" w:cs="Segoe UI"/>
          <w:sz w:val="20"/>
          <w:szCs w:val="20"/>
        </w:rPr>
        <w:t>3</w:t>
      </w:r>
      <w:r w:rsidR="009F1C11">
        <w:rPr>
          <w:rFonts w:ascii="Segoe UI" w:hAnsi="Segoe UI" w:cs="Segoe UI"/>
          <w:sz w:val="20"/>
          <w:szCs w:val="20"/>
        </w:rPr>
        <w:t xml:space="preserve">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(2</w:t>
      </w:r>
      <w:r w:rsidR="00AA6731">
        <w:rPr>
          <w:rFonts w:ascii="Segoe UI" w:hAnsi="Segoe UI" w:cs="Segoe UI"/>
          <w:sz w:val="20"/>
          <w:szCs w:val="20"/>
        </w:rPr>
        <w:t>7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768C3947" w:rsidR="00831BE6" w:rsidRDefault="00AA6731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18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524E51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>
        <w:rPr>
          <w:rFonts w:ascii="Segoe UI" w:hAnsi="Segoe UI" w:cs="Segoe UI"/>
          <w:sz w:val="20"/>
          <w:szCs w:val="20"/>
        </w:rPr>
        <w:t xml:space="preserve"> This was considerably lower than similar efforts made internationally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30A1DFE" w14:textId="32608E00" w:rsidR="00AB433A" w:rsidRDefault="00DA04BE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AB433A">
        <w:rPr>
          <w:rFonts w:ascii="Segoe UI" w:hAnsi="Segoe UI" w:cs="Segoe UI"/>
          <w:sz w:val="20"/>
          <w:szCs w:val="20"/>
        </w:rPr>
        <w:t xml:space="preserve">onsequences </w:t>
      </w:r>
      <w:r w:rsidR="00C535AE">
        <w:rPr>
          <w:rFonts w:ascii="Segoe UI" w:hAnsi="Segoe UI" w:cs="Segoe UI"/>
          <w:sz w:val="20"/>
          <w:szCs w:val="20"/>
        </w:rPr>
        <w:t xml:space="preserve">that </w:t>
      </w:r>
      <w:r w:rsidR="00AB433A">
        <w:rPr>
          <w:rFonts w:ascii="Segoe UI" w:hAnsi="Segoe UI" w:cs="Segoe UI"/>
          <w:sz w:val="20"/>
          <w:szCs w:val="20"/>
        </w:rPr>
        <w:t xml:space="preserve">were </w:t>
      </w:r>
      <w:r w:rsidR="00C535AE">
        <w:rPr>
          <w:rFonts w:ascii="Segoe UI" w:hAnsi="Segoe UI" w:cs="Segoe UI"/>
          <w:sz w:val="20"/>
          <w:szCs w:val="20"/>
        </w:rPr>
        <w:t xml:space="preserve">felt more strongly in </w:t>
      </w:r>
      <w:r>
        <w:rPr>
          <w:rFonts w:ascii="Segoe UI" w:hAnsi="Segoe UI" w:cs="Segoe UI"/>
          <w:sz w:val="20"/>
          <w:szCs w:val="20"/>
        </w:rPr>
        <w:t xml:space="preserve">Australia </w:t>
      </w:r>
      <w:r w:rsidR="00C535AE">
        <w:rPr>
          <w:rFonts w:ascii="Segoe UI" w:hAnsi="Segoe UI" w:cs="Segoe UI"/>
          <w:sz w:val="20"/>
          <w:szCs w:val="20"/>
        </w:rPr>
        <w:t>i</w:t>
      </w:r>
      <w:r w:rsidR="00AB433A">
        <w:rPr>
          <w:rFonts w:ascii="Segoe UI" w:hAnsi="Segoe UI" w:cs="Segoe UI"/>
          <w:sz w:val="20"/>
          <w:szCs w:val="20"/>
        </w:rPr>
        <w:t xml:space="preserve">ncluded </w:t>
      </w:r>
      <w:r w:rsidR="00524E51">
        <w:rPr>
          <w:rFonts w:ascii="Segoe UI" w:hAnsi="Segoe UI" w:cs="Segoe UI"/>
          <w:sz w:val="20"/>
          <w:szCs w:val="20"/>
        </w:rPr>
        <w:t>Lost a friend (23%, 18%), S</w:t>
      </w:r>
      <w:r>
        <w:rPr>
          <w:rFonts w:ascii="Segoe UI" w:hAnsi="Segoe UI" w:cs="Segoe UI"/>
          <w:sz w:val="20"/>
          <w:szCs w:val="20"/>
        </w:rPr>
        <w:t>pen</w:t>
      </w:r>
      <w:r w:rsidR="00524E51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 time and energy avoidi</w:t>
      </w:r>
      <w:r w:rsidR="00524E51">
        <w:rPr>
          <w:rFonts w:ascii="Segoe UI" w:hAnsi="Segoe UI" w:cs="Segoe UI"/>
          <w:sz w:val="20"/>
          <w:szCs w:val="20"/>
        </w:rPr>
        <w:t>ng the offender (22%, 17%) and B</w:t>
      </w:r>
      <w:r>
        <w:rPr>
          <w:rFonts w:ascii="Segoe UI" w:hAnsi="Segoe UI" w:cs="Segoe UI"/>
          <w:sz w:val="20"/>
          <w:szCs w:val="20"/>
        </w:rPr>
        <w:t>ec</w:t>
      </w:r>
      <w:r w:rsidR="00524E51">
        <w:rPr>
          <w:rFonts w:ascii="Segoe UI" w:hAnsi="Segoe UI" w:cs="Segoe UI"/>
          <w:sz w:val="20"/>
          <w:szCs w:val="20"/>
        </w:rPr>
        <w:t>ame</w:t>
      </w:r>
      <w:r>
        <w:rPr>
          <w:rFonts w:ascii="Segoe UI" w:hAnsi="Segoe UI" w:cs="Segoe UI"/>
          <w:sz w:val="20"/>
          <w:szCs w:val="20"/>
        </w:rPr>
        <w:t xml:space="preserve"> depressed (21%, 16%). </w:t>
      </w: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15E5016E" w:rsidR="00EE045D" w:rsidRDefault="006C65CF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232D91C5">
                <wp:simplePos x="0" y="0"/>
                <wp:positionH relativeFrom="column">
                  <wp:posOffset>3596640</wp:posOffset>
                </wp:positionH>
                <wp:positionV relativeFrom="paragraph">
                  <wp:posOffset>275590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70F5F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1.7pt" to="54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M+wy9uEAAAAKAQAADwAA&#10;AAAAAAAAAAAAAABZBAAAZHJzL2Rvd25yZXYueG1sUEsFBgAAAAAEAAQA8wAAAGcFAAAAAA==&#10;" strokecolor="gray [1629]" strokeweight=".5pt"/>
            </w:pict>
          </mc:Fallback>
        </mc:AlternateContent>
      </w:r>
    </w:p>
    <w:p w14:paraId="3013E2F5" w14:textId="4C1AFE1A" w:rsidR="00CB23CC" w:rsidRDefault="00CB23CC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0A5E3F2D" w14:textId="090C3037" w:rsidR="004278A7" w:rsidRDefault="00B2365E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B2365E">
        <w:rPr>
          <w:noProof/>
        </w:rPr>
        <w:drawing>
          <wp:anchor distT="0" distB="0" distL="114300" distR="114300" simplePos="0" relativeHeight="251712512" behindDoc="0" locked="0" layoutInCell="1" allowOverlap="1" wp14:anchorId="3D57E0CF" wp14:editId="0450FF66">
            <wp:simplePos x="0" y="0"/>
            <wp:positionH relativeFrom="column">
              <wp:posOffset>3688080</wp:posOffset>
            </wp:positionH>
            <wp:positionV relativeFrom="paragraph">
              <wp:posOffset>369570</wp:posOffset>
            </wp:positionV>
            <wp:extent cx="3392424" cy="4160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0396EEC4" w:rsidR="00371E9C" w:rsidRPr="00AB4812" w:rsidRDefault="00B035C4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DE1696">
        <w:rPr>
          <w:rFonts w:ascii="Segoe UI" w:hAnsi="Segoe UI" w:cs="Segoe UI"/>
          <w:sz w:val="20"/>
          <w:szCs w:val="20"/>
        </w:rPr>
        <w:t>1</w:t>
      </w:r>
      <w:r w:rsidR="000D12BC">
        <w:rPr>
          <w:rFonts w:ascii="Segoe UI" w:hAnsi="Segoe UI" w:cs="Segoe UI"/>
          <w:sz w:val="20"/>
          <w:szCs w:val="20"/>
        </w:rPr>
        <w:t xml:space="preserve">% </w:t>
      </w:r>
      <w:r w:rsidR="00897ED2">
        <w:rPr>
          <w:rFonts w:ascii="Segoe UI" w:hAnsi="Segoe UI" w:cs="Segoe UI"/>
          <w:sz w:val="20"/>
          <w:szCs w:val="20"/>
        </w:rPr>
        <w:t xml:space="preserve">of consumers in </w:t>
      </w:r>
      <w:r w:rsidR="00DE1696">
        <w:rPr>
          <w:rFonts w:ascii="Segoe UI" w:hAnsi="Segoe UI" w:cs="Segoe UI"/>
          <w:sz w:val="20"/>
          <w:szCs w:val="20"/>
        </w:rPr>
        <w:t>Australia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DE1696">
        <w:rPr>
          <w:rFonts w:ascii="Segoe UI" w:hAnsi="Segoe UI" w:cs="Segoe UI"/>
          <w:sz w:val="20"/>
          <w:szCs w:val="20"/>
        </w:rPr>
        <w:t xml:space="preserve">more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DE1696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(</w:t>
      </w:r>
      <w:r w:rsidR="00731F6D">
        <w:rPr>
          <w:rFonts w:ascii="Segoe UI" w:hAnsi="Segoe UI" w:cs="Segoe UI"/>
          <w:sz w:val="20"/>
          <w:szCs w:val="20"/>
        </w:rPr>
        <w:t>International,</w:t>
      </w:r>
      <w:r w:rsidR="00371E9C">
        <w:rPr>
          <w:rFonts w:ascii="Segoe UI" w:hAnsi="Segoe UI" w:cs="Segoe UI"/>
          <w:sz w:val="20"/>
          <w:szCs w:val="20"/>
        </w:rPr>
        <w:t xml:space="preserve"> </w:t>
      </w:r>
      <w:r w:rsidR="000D12BC">
        <w:rPr>
          <w:rFonts w:ascii="Segoe UI" w:hAnsi="Segoe UI" w:cs="Segoe UI"/>
          <w:sz w:val="20"/>
          <w:szCs w:val="20"/>
        </w:rPr>
        <w:t xml:space="preserve">50%).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6760F773" w:rsidR="00AB4812" w:rsidRDefault="00B035C4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Looking one year ahead, </w:t>
      </w:r>
      <w:r w:rsidR="00217AD8">
        <w:rPr>
          <w:rFonts w:ascii="Segoe UI" w:hAnsi="Segoe UI" w:cs="Segoe UI"/>
          <w:sz w:val="20"/>
          <w:szCs w:val="20"/>
        </w:rPr>
        <w:t>I</w:t>
      </w:r>
      <w:r w:rsidR="00AB4812" w:rsidRPr="00AB4812">
        <w:rPr>
          <w:rFonts w:ascii="Segoe UI" w:hAnsi="Segoe UI" w:cs="Segoe UI"/>
          <w:sz w:val="20"/>
          <w:szCs w:val="20"/>
        </w:rPr>
        <w:t xml:space="preserve">ntrusive </w:t>
      </w:r>
      <w:r w:rsidR="00CB5735">
        <w:rPr>
          <w:rFonts w:ascii="Segoe UI" w:hAnsi="Segoe UI" w:cs="Segoe UI"/>
          <w:sz w:val="20"/>
          <w:szCs w:val="20"/>
        </w:rPr>
        <w:t>(</w:t>
      </w:r>
      <w:r w:rsidR="00DE1696">
        <w:rPr>
          <w:rFonts w:ascii="Segoe UI" w:hAnsi="Segoe UI" w:cs="Segoe UI"/>
          <w:sz w:val="20"/>
          <w:szCs w:val="20"/>
        </w:rPr>
        <w:t>44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 w:rsidR="00217AD8">
        <w:rPr>
          <w:rFonts w:ascii="Segoe UI" w:hAnsi="Segoe UI" w:cs="Segoe UI"/>
          <w:sz w:val="20"/>
          <w:szCs w:val="20"/>
        </w:rPr>
        <w:t>and B</w:t>
      </w:r>
      <w:r w:rsidR="00AB4812" w:rsidRPr="00AB4812">
        <w:rPr>
          <w:rFonts w:ascii="Segoe UI" w:hAnsi="Segoe UI" w:cs="Segoe UI"/>
          <w:sz w:val="20"/>
          <w:szCs w:val="20"/>
        </w:rPr>
        <w:t xml:space="preserve">ehavioral </w:t>
      </w:r>
      <w:r w:rsidR="00CB5735">
        <w:rPr>
          <w:rFonts w:ascii="Segoe UI" w:hAnsi="Segoe UI" w:cs="Segoe UI"/>
          <w:sz w:val="20"/>
          <w:szCs w:val="20"/>
        </w:rPr>
        <w:t>(4</w:t>
      </w:r>
      <w:r w:rsidR="00DE1696">
        <w:rPr>
          <w:rFonts w:ascii="Segoe UI" w:hAnsi="Segoe UI" w:cs="Segoe UI"/>
          <w:sz w:val="20"/>
          <w:szCs w:val="20"/>
        </w:rPr>
        <w:t>2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 w:rsidR="00AB4812">
        <w:rPr>
          <w:rFonts w:ascii="Segoe UI" w:hAnsi="Segoe UI" w:cs="Segoe UI"/>
          <w:sz w:val="20"/>
          <w:szCs w:val="20"/>
        </w:rPr>
        <w:t xml:space="preserve">risk categories garnered the most concern both in </w:t>
      </w:r>
      <w:r w:rsidR="00152030">
        <w:rPr>
          <w:rFonts w:ascii="Segoe UI" w:hAnsi="Segoe UI" w:cs="Segoe UI"/>
          <w:sz w:val="20"/>
          <w:szCs w:val="20"/>
        </w:rPr>
        <w:t>Australia</w:t>
      </w:r>
      <w:r w:rsidR="00AB4812">
        <w:rPr>
          <w:rFonts w:ascii="Segoe UI" w:hAnsi="Segoe UI" w:cs="Segoe UI"/>
          <w:sz w:val="20"/>
          <w:szCs w:val="20"/>
        </w:rPr>
        <w:t>. and internationally</w:t>
      </w:r>
      <w:r w:rsidR="00AB4812" w:rsidRPr="00AB4812">
        <w:rPr>
          <w:rFonts w:ascii="Segoe UI" w:hAnsi="Segoe UI" w:cs="Segoe UI"/>
          <w:sz w:val="20"/>
          <w:szCs w:val="20"/>
        </w:rPr>
        <w:t>.</w:t>
      </w:r>
    </w:p>
    <w:p w14:paraId="559EAA5C" w14:textId="47B1FF84" w:rsidR="00CB5735" w:rsidRPr="00AB4812" w:rsidRDefault="00CB5735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Cyberbullying (3</w:t>
      </w:r>
      <w:r w:rsidR="00217AD8">
        <w:rPr>
          <w:rFonts w:ascii="Segoe UI" w:hAnsi="Segoe UI" w:cs="Segoe UI"/>
          <w:sz w:val="20"/>
          <w:szCs w:val="20"/>
        </w:rPr>
        <w:t xml:space="preserve">2%), Terrorism Recruiting (30%) and Hate speech </w:t>
      </w:r>
      <w:r>
        <w:rPr>
          <w:rFonts w:ascii="Segoe UI" w:hAnsi="Segoe UI" w:cs="Segoe UI"/>
          <w:sz w:val="20"/>
          <w:szCs w:val="20"/>
        </w:rPr>
        <w:t>(</w:t>
      </w:r>
      <w:r w:rsidR="00217AD8">
        <w:rPr>
          <w:rFonts w:ascii="Segoe UI" w:hAnsi="Segoe UI" w:cs="Segoe UI"/>
          <w:sz w:val="20"/>
          <w:szCs w:val="20"/>
        </w:rPr>
        <w:t>28</w:t>
      </w:r>
      <w:r>
        <w:rPr>
          <w:rFonts w:ascii="Segoe UI" w:hAnsi="Segoe UI" w:cs="Segoe UI"/>
          <w:sz w:val="20"/>
          <w:szCs w:val="20"/>
        </w:rPr>
        <w:t>%) were the thr</w:t>
      </w:r>
      <w:r w:rsidR="003E72A8">
        <w:rPr>
          <w:rFonts w:ascii="Segoe UI" w:hAnsi="Segoe UI" w:cs="Segoe UI"/>
          <w:sz w:val="20"/>
          <w:szCs w:val="20"/>
        </w:rPr>
        <w:t>ee most co</w:t>
      </w:r>
      <w:r w:rsidR="00217AD8">
        <w:rPr>
          <w:rFonts w:ascii="Segoe UI" w:hAnsi="Segoe UI" w:cs="Segoe UI"/>
          <w:sz w:val="20"/>
          <w:szCs w:val="20"/>
        </w:rPr>
        <w:t>ncerning online risks</w:t>
      </w:r>
      <w:r w:rsidR="003E72A8">
        <w:rPr>
          <w:rFonts w:ascii="Segoe UI" w:hAnsi="Segoe UI" w:cs="Segoe UI"/>
          <w:sz w:val="20"/>
          <w:szCs w:val="20"/>
        </w:rPr>
        <w:t>.</w:t>
      </w:r>
    </w:p>
    <w:p w14:paraId="740352AD" w14:textId="32DB88A1" w:rsidR="00AB4812" w:rsidRPr="00AB4812" w:rsidRDefault="00784998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Consumers reported having l</w:t>
      </w:r>
      <w:r w:rsidR="0005731D">
        <w:rPr>
          <w:rFonts w:ascii="Segoe UI" w:hAnsi="Segoe UI" w:cs="Segoe UI"/>
          <w:sz w:val="20"/>
          <w:szCs w:val="20"/>
        </w:rPr>
        <w:t xml:space="preserve">ower </w:t>
      </w:r>
      <w:r>
        <w:rPr>
          <w:rFonts w:ascii="Segoe UI" w:hAnsi="Segoe UI" w:cs="Segoe UI"/>
          <w:sz w:val="20"/>
          <w:szCs w:val="20"/>
        </w:rPr>
        <w:t xml:space="preserve">concerns across </w:t>
      </w:r>
      <w:r w:rsidR="00AB4812" w:rsidRPr="00AB4812">
        <w:rPr>
          <w:rFonts w:ascii="Segoe UI" w:hAnsi="Segoe UI" w:cs="Segoe UI"/>
          <w:sz w:val="20"/>
          <w:szCs w:val="20"/>
        </w:rPr>
        <w:t>all online risks compared to international</w:t>
      </w:r>
      <w:r w:rsidR="004D1077">
        <w:rPr>
          <w:rFonts w:ascii="Segoe UI" w:hAnsi="Segoe UI" w:cs="Segoe UI"/>
          <w:sz w:val="20"/>
          <w:szCs w:val="20"/>
        </w:rPr>
        <w:t>. The largest differences were in Doxing (27%, 45%) and Sexual risks (32%, 49%).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4E8E56DB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216A2906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4B0CABC" w14:textId="25223209" w:rsidR="00FE046A" w:rsidRPr="00FE046A" w:rsidRDefault="00FE046A" w:rsidP="00FE046A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E20131B" w14:textId="167C5097" w:rsidR="00C66A0E" w:rsidRDefault="00C66A0E" w:rsidP="00C66A0E">
      <w:pPr>
        <w:rPr>
          <w:rFonts w:ascii="Segoe UI" w:hAnsi="Segoe UI" w:cs="Segoe UI"/>
          <w:b/>
          <w:noProof/>
          <w:sz w:val="28"/>
          <w:szCs w:val="28"/>
        </w:rPr>
      </w:pPr>
    </w:p>
    <w:p w14:paraId="3F655DF8" w14:textId="0EE237B8" w:rsidR="00C66A0E" w:rsidRDefault="00BD29F5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Nearly one-quarter </w:t>
      </w:r>
      <w:r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573B9E">
        <w:rPr>
          <w:rFonts w:ascii="Segoe UI" w:hAnsi="Segoe UI" w:cs="Segoe UI"/>
          <w:b/>
          <w:sz w:val="28"/>
          <w:szCs w:val="28"/>
        </w:rPr>
        <w:t xml:space="preserve">an </w:t>
      </w:r>
      <w:r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428728B2" w:rsidR="00BF5800" w:rsidRPr="00C12BD1" w:rsidRDefault="00BD29F5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</w:t>
      </w:r>
      <w:r w:rsidR="00BF5800" w:rsidRPr="00C12BD1">
        <w:rPr>
          <w:rFonts w:ascii="Segoe UI" w:hAnsi="Segoe UI" w:cs="Segoe UI"/>
          <w:sz w:val="20"/>
          <w:szCs w:val="20"/>
        </w:rPr>
        <w:t>% of A</w:t>
      </w:r>
      <w:r w:rsidR="00865F52">
        <w:rPr>
          <w:rFonts w:ascii="Segoe UI" w:hAnsi="Segoe UI" w:cs="Segoe UI"/>
          <w:sz w:val="20"/>
          <w:szCs w:val="20"/>
        </w:rPr>
        <w:t xml:space="preserve">ustralians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1FEE8460" w:rsidR="00BF5800" w:rsidRPr="00C12BD1" w:rsidRDefault="00BD29F5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week. </w:t>
      </w:r>
    </w:p>
    <w:p w14:paraId="1A540613" w14:textId="34BE61E1" w:rsidR="00F17F51" w:rsidRPr="00591244" w:rsidRDefault="00591244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72D9AC7E" wp14:editId="1FDB7CA2">
            <wp:simplePos x="0" y="0"/>
            <wp:positionH relativeFrom="page">
              <wp:align>center</wp:align>
            </wp:positionH>
            <wp:positionV relativeFrom="paragraph">
              <wp:posOffset>210820</wp:posOffset>
            </wp:positionV>
            <wp:extent cx="6583680" cy="1783080"/>
            <wp:effectExtent l="0" t="0" r="762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530">
        <w:rPr>
          <w:rFonts w:ascii="Segoe UI" w:hAnsi="Segoe UI" w:cs="Segoe UI"/>
          <w:sz w:val="20"/>
          <w:szCs w:val="20"/>
        </w:rPr>
        <w:t>6%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F06530">
        <w:rPr>
          <w:rFonts w:ascii="Segoe UI" w:hAnsi="Segoe UI" w:cs="Segoe UI"/>
          <w:sz w:val="20"/>
          <w:szCs w:val="20"/>
        </w:rPr>
        <w:t>2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06BDD70C" w14:textId="6EB5F670" w:rsidR="00591244" w:rsidRDefault="00591244" w:rsidP="005912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5BC10DC" w14:textId="77777777" w:rsidR="00591244" w:rsidRPr="00591244" w:rsidRDefault="00591244" w:rsidP="005912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591244" w:rsidRPr="00591244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1ADF5D98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B40FC1">
        <w:rPr>
          <w:rFonts w:ascii="Segoe UI" w:hAnsi="Segoe UI" w:cs="Segoe UI"/>
          <w:sz w:val="20"/>
          <w:szCs w:val="20"/>
        </w:rPr>
        <w:t xml:space="preserve"> (16</w:t>
      </w:r>
      <w:r w:rsidR="00B96CD4">
        <w:rPr>
          <w:rFonts w:ascii="Segoe UI" w:hAnsi="Segoe UI" w:cs="Segoe UI"/>
          <w:sz w:val="20"/>
          <w:szCs w:val="20"/>
        </w:rPr>
        <w:t>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B96CD4">
        <w:rPr>
          <w:rFonts w:ascii="Segoe UI" w:hAnsi="Segoe UI" w:cs="Segoe UI"/>
          <w:sz w:val="20"/>
          <w:szCs w:val="20"/>
        </w:rPr>
        <w:t>95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Higher interactions among youth </w:t>
      </w:r>
      <w:r w:rsidR="00335F48">
        <w:rPr>
          <w:rFonts w:ascii="Segoe UI" w:hAnsi="Segoe UI" w:cs="Segoe UI"/>
          <w:sz w:val="20"/>
          <w:szCs w:val="20"/>
        </w:rPr>
        <w:t xml:space="preserve">did not </w:t>
      </w:r>
      <w:r w:rsidR="00B340E6">
        <w:rPr>
          <w:rFonts w:ascii="Segoe UI" w:hAnsi="Segoe UI" w:cs="Segoe UI"/>
          <w:sz w:val="20"/>
          <w:szCs w:val="20"/>
        </w:rPr>
        <w:t>translate into higher rates of online risk compared to adults</w:t>
      </w:r>
      <w:r w:rsidR="00335F48">
        <w:rPr>
          <w:rFonts w:ascii="Segoe UI" w:hAnsi="Segoe UI" w:cs="Segoe UI"/>
          <w:sz w:val="20"/>
          <w:szCs w:val="20"/>
        </w:rPr>
        <w:t xml:space="preserve"> – if fact they were slightly lower (48%, 53%)</w:t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3E6B15">
        <w:rPr>
          <w:rFonts w:ascii="Segoe UI" w:hAnsi="Segoe UI" w:cs="Segoe UI"/>
          <w:sz w:val="20"/>
          <w:szCs w:val="20"/>
        </w:rPr>
        <w:t xml:space="preserve">Youth were more likely to have family or friends affected by a risk than adults (57%, 33%). </w:t>
      </w:r>
      <w:r w:rsidR="00585231" w:rsidRPr="00CB1FB0">
        <w:rPr>
          <w:rFonts w:ascii="Segoe UI" w:hAnsi="Segoe UI" w:cs="Segoe UI"/>
          <w:sz w:val="20"/>
          <w:szCs w:val="20"/>
        </w:rPr>
        <w:t>This suggest</w:t>
      </w:r>
      <w:r w:rsidR="00335F48">
        <w:rPr>
          <w:rFonts w:ascii="Segoe UI" w:hAnsi="Segoe UI" w:cs="Segoe UI"/>
          <w:sz w:val="20"/>
          <w:szCs w:val="20"/>
        </w:rPr>
        <w:t>ed</w:t>
      </w:r>
      <w:r w:rsidR="00585231" w:rsidRPr="00CB1FB0">
        <w:rPr>
          <w:rFonts w:ascii="Segoe UI" w:hAnsi="Segoe UI" w:cs="Segoe UI"/>
          <w:sz w:val="20"/>
          <w:szCs w:val="20"/>
        </w:rPr>
        <w:t xml:space="preserve"> </w:t>
      </w:r>
      <w:r w:rsidR="003E6B15">
        <w:rPr>
          <w:rFonts w:ascii="Segoe UI" w:hAnsi="Segoe UI" w:cs="Segoe UI"/>
          <w:sz w:val="20"/>
          <w:szCs w:val="20"/>
        </w:rPr>
        <w:t xml:space="preserve">youth </w:t>
      </w:r>
      <w:r w:rsidR="00585231" w:rsidRPr="00CB1FB0">
        <w:rPr>
          <w:rFonts w:ascii="Segoe UI" w:hAnsi="Segoe UI" w:cs="Segoe UI"/>
          <w:sz w:val="20"/>
          <w:szCs w:val="20"/>
        </w:rPr>
        <w:t>were more willing to share their negative online experiences</w:t>
      </w:r>
      <w:r w:rsidR="003E6B15">
        <w:rPr>
          <w:rFonts w:ascii="Segoe UI" w:hAnsi="Segoe UI" w:cs="Segoe UI"/>
          <w:sz w:val="20"/>
          <w:szCs w:val="20"/>
        </w:rPr>
        <w:t xml:space="preserve"> and may have underreported their own risk exposure</w:t>
      </w:r>
      <w:r w:rsidR="00585231">
        <w:rPr>
          <w:rFonts w:ascii="Segoe UI" w:hAnsi="Segoe UI" w:cs="Segoe UI"/>
          <w:sz w:val="20"/>
          <w:szCs w:val="20"/>
        </w:rPr>
        <w:t>.</w:t>
      </w:r>
    </w:p>
    <w:p w14:paraId="7B4C21F5" w14:textId="7794C017" w:rsidR="00F17F51" w:rsidRDefault="00585231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Youth were more likely (5</w:t>
      </w:r>
      <w:r w:rsidR="00810785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%, 3</w:t>
      </w:r>
      <w:r w:rsidR="00810785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%) to have met in person the individual responsible for the online risk.</w:t>
      </w:r>
      <w:r w:rsidR="00AB2FB5" w:rsidRPr="00AB2FB5">
        <w:rPr>
          <w:rFonts w:ascii="Segoe UI" w:hAnsi="Segoe UI" w:cs="Segoe UI"/>
          <w:sz w:val="20"/>
          <w:szCs w:val="20"/>
        </w:rPr>
        <w:t xml:space="preserve"> </w:t>
      </w:r>
      <w:r w:rsidR="00716C2B">
        <w:rPr>
          <w:rFonts w:ascii="Segoe UI" w:hAnsi="Segoe UI" w:cs="Segoe UI"/>
          <w:sz w:val="20"/>
          <w:szCs w:val="20"/>
        </w:rPr>
        <w:t>Youth were less confident than adults in managing uncivil behavior, (41%, 48%) but youth were much more sure of themselves about where to get help (48%, 15</w:t>
      </w:r>
      <w:r w:rsidR="003E6B15">
        <w:rPr>
          <w:rFonts w:ascii="Segoe UI" w:hAnsi="Segoe UI" w:cs="Segoe UI"/>
          <w:sz w:val="20"/>
          <w:szCs w:val="20"/>
        </w:rPr>
        <w:t>%)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F17F51">
        <w:rPr>
          <w:rFonts w:ascii="Segoe UI" w:hAnsi="Segoe UI" w:cs="Segoe UI"/>
          <w:sz w:val="20"/>
          <w:szCs w:val="20"/>
        </w:rPr>
        <w:t>Females reported higher levels of Cyberbullying (14%, 8%) than males. No other risks showed a significant difference by gender.</w:t>
      </w:r>
    </w:p>
    <w:p w14:paraId="32BFB029" w14:textId="77777777" w:rsidR="00F17F51" w:rsidRDefault="00F17F51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Males reported being more confident in dealing with an online risk (51%, 38%) and slightly more likely to know where to get help if needed (34%, 28%). </w:t>
      </w:r>
    </w:p>
    <w:p w14:paraId="7ED5EDFB" w14:textId="77777777" w:rsidR="00F17F51" w:rsidRDefault="00F17F51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F17F51" w:rsidSect="000B2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>Females were more pessimistic about the future of safety (122, 113)</w:t>
      </w:r>
      <w:r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>
        <w:rPr>
          <w:rFonts w:ascii="Segoe UI" w:hAnsi="Segoe UI" w:cs="Segoe UI"/>
          <w:sz w:val="20"/>
          <w:szCs w:val="20"/>
        </w:rPr>
        <w:t xml:space="preserve"> and shared a similar outlook with males regarding civility (106, 106)</w:t>
      </w:r>
      <w:r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>
        <w:rPr>
          <w:rFonts w:ascii="Segoe UI" w:hAnsi="Segoe UI" w:cs="Segoe UI"/>
          <w:sz w:val="20"/>
          <w:szCs w:val="20"/>
        </w:rPr>
        <w:t>.</w:t>
      </w:r>
    </w:p>
    <w:p w14:paraId="2BC11ED7" w14:textId="6F5F273B" w:rsidR="00716C2B" w:rsidRDefault="007B2654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B2654">
        <w:rPr>
          <w:noProof/>
        </w:rPr>
        <w:drawing>
          <wp:anchor distT="0" distB="0" distL="114300" distR="114300" simplePos="0" relativeHeight="251714560" behindDoc="0" locked="0" layoutInCell="1" allowOverlap="1" wp14:anchorId="7134EC24" wp14:editId="7479FDEA">
            <wp:simplePos x="0" y="0"/>
            <wp:positionH relativeFrom="column">
              <wp:posOffset>3741420</wp:posOffset>
            </wp:positionH>
            <wp:positionV relativeFrom="paragraph">
              <wp:posOffset>403225</wp:posOffset>
            </wp:positionV>
            <wp:extent cx="3392424" cy="19659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0F8">
        <w:rPr>
          <w:noProof/>
        </w:rPr>
        <w:drawing>
          <wp:anchor distT="0" distB="0" distL="114300" distR="114300" simplePos="0" relativeHeight="251709440" behindDoc="0" locked="0" layoutInCell="1" allowOverlap="1" wp14:anchorId="2D000BEF" wp14:editId="070EDD11">
            <wp:simplePos x="0" y="0"/>
            <wp:positionH relativeFrom="column">
              <wp:posOffset>-100330</wp:posOffset>
            </wp:positionH>
            <wp:positionV relativeFrom="paragraph">
              <wp:posOffset>387985</wp:posOffset>
            </wp:positionV>
            <wp:extent cx="3392424" cy="1975104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0F8">
        <w:rPr>
          <w:rFonts w:ascii="Segoe UI" w:hAnsi="Segoe UI" w:cs="Segoe UI"/>
          <w:sz w:val="20"/>
          <w:szCs w:val="20"/>
        </w:rPr>
        <w:br w:type="column"/>
      </w:r>
    </w:p>
    <w:p w14:paraId="56AEA64F" w14:textId="27833398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9AB9" w14:textId="77777777" w:rsidR="008E6205" w:rsidRDefault="008E6205" w:rsidP="00E36286">
      <w:pPr>
        <w:spacing w:after="0" w:line="240" w:lineRule="auto"/>
      </w:pPr>
      <w:r>
        <w:separator/>
      </w:r>
    </w:p>
  </w:endnote>
  <w:endnote w:type="continuationSeparator" w:id="0">
    <w:p w14:paraId="11E0A162" w14:textId="77777777" w:rsidR="008E6205" w:rsidRDefault="008E6205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2ABEDD78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D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EF77" w14:textId="77777777" w:rsidR="008E6205" w:rsidRDefault="008E6205" w:rsidP="00E36286">
      <w:pPr>
        <w:spacing w:after="0" w:line="240" w:lineRule="auto"/>
      </w:pPr>
      <w:r>
        <w:separator/>
      </w:r>
    </w:p>
  </w:footnote>
  <w:footnote w:type="continuationSeparator" w:id="0">
    <w:p w14:paraId="067E4E32" w14:textId="77777777" w:rsidR="008E6205" w:rsidRDefault="008E6205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  <w:footnote w:id="3">
    <w:p w14:paraId="5891A793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0D61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5F45"/>
    <w:rsid w:val="000769CC"/>
    <w:rsid w:val="000773EC"/>
    <w:rsid w:val="00077835"/>
    <w:rsid w:val="000816D8"/>
    <w:rsid w:val="0009486D"/>
    <w:rsid w:val="00095E0A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142EF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C2148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7AD8"/>
    <w:rsid w:val="002253DB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3F4D"/>
    <w:rsid w:val="00314C05"/>
    <w:rsid w:val="0032474F"/>
    <w:rsid w:val="0032702E"/>
    <w:rsid w:val="00327862"/>
    <w:rsid w:val="0033390D"/>
    <w:rsid w:val="00335F48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85A2B"/>
    <w:rsid w:val="003863D0"/>
    <w:rsid w:val="00390DD1"/>
    <w:rsid w:val="003A7A74"/>
    <w:rsid w:val="003B1776"/>
    <w:rsid w:val="003B1AB3"/>
    <w:rsid w:val="003B3C9D"/>
    <w:rsid w:val="003C0AA3"/>
    <w:rsid w:val="003C45C9"/>
    <w:rsid w:val="003C5762"/>
    <w:rsid w:val="003C5B56"/>
    <w:rsid w:val="003C5C32"/>
    <w:rsid w:val="003C71AA"/>
    <w:rsid w:val="003E30EF"/>
    <w:rsid w:val="003E3604"/>
    <w:rsid w:val="003E6B15"/>
    <w:rsid w:val="003E72A8"/>
    <w:rsid w:val="003F5DA1"/>
    <w:rsid w:val="003F739E"/>
    <w:rsid w:val="00401D8C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4F7E"/>
    <w:rsid w:val="004B0BBF"/>
    <w:rsid w:val="004C084C"/>
    <w:rsid w:val="004C78EF"/>
    <w:rsid w:val="004D1077"/>
    <w:rsid w:val="004E0D51"/>
    <w:rsid w:val="004E4982"/>
    <w:rsid w:val="004E5379"/>
    <w:rsid w:val="004F13F8"/>
    <w:rsid w:val="004F470F"/>
    <w:rsid w:val="00503AF8"/>
    <w:rsid w:val="00521A73"/>
    <w:rsid w:val="00524E51"/>
    <w:rsid w:val="00525DA5"/>
    <w:rsid w:val="00527718"/>
    <w:rsid w:val="005309C7"/>
    <w:rsid w:val="005343DB"/>
    <w:rsid w:val="00534E0A"/>
    <w:rsid w:val="00535E51"/>
    <w:rsid w:val="00541FC3"/>
    <w:rsid w:val="00553AC8"/>
    <w:rsid w:val="00554207"/>
    <w:rsid w:val="005659CF"/>
    <w:rsid w:val="005715A2"/>
    <w:rsid w:val="005730BA"/>
    <w:rsid w:val="00573B9E"/>
    <w:rsid w:val="00582DDF"/>
    <w:rsid w:val="005840B3"/>
    <w:rsid w:val="00585231"/>
    <w:rsid w:val="005869E7"/>
    <w:rsid w:val="00591244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F2142"/>
    <w:rsid w:val="005F2D70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6A7B"/>
    <w:rsid w:val="006F1FC8"/>
    <w:rsid w:val="006F75B0"/>
    <w:rsid w:val="007009E5"/>
    <w:rsid w:val="007066F1"/>
    <w:rsid w:val="00711186"/>
    <w:rsid w:val="007119B6"/>
    <w:rsid w:val="00716C2B"/>
    <w:rsid w:val="00717BB6"/>
    <w:rsid w:val="00722139"/>
    <w:rsid w:val="007242A3"/>
    <w:rsid w:val="0072738F"/>
    <w:rsid w:val="00727A22"/>
    <w:rsid w:val="00731F6D"/>
    <w:rsid w:val="00735985"/>
    <w:rsid w:val="00742381"/>
    <w:rsid w:val="007444B5"/>
    <w:rsid w:val="007461F5"/>
    <w:rsid w:val="007569ED"/>
    <w:rsid w:val="007724C4"/>
    <w:rsid w:val="00773CB5"/>
    <w:rsid w:val="00775661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2654"/>
    <w:rsid w:val="007B7E74"/>
    <w:rsid w:val="007C4AEC"/>
    <w:rsid w:val="007C4CB2"/>
    <w:rsid w:val="007C5AB6"/>
    <w:rsid w:val="007D1968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E6205"/>
    <w:rsid w:val="008F1475"/>
    <w:rsid w:val="008F4989"/>
    <w:rsid w:val="00901FA8"/>
    <w:rsid w:val="00911A62"/>
    <w:rsid w:val="009128FD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A0D"/>
    <w:rsid w:val="009545D7"/>
    <w:rsid w:val="00955FF1"/>
    <w:rsid w:val="009602E8"/>
    <w:rsid w:val="009715DE"/>
    <w:rsid w:val="00971D1E"/>
    <w:rsid w:val="00976B2A"/>
    <w:rsid w:val="009807AE"/>
    <w:rsid w:val="00992057"/>
    <w:rsid w:val="00992423"/>
    <w:rsid w:val="00997F73"/>
    <w:rsid w:val="009A0800"/>
    <w:rsid w:val="009A24A8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3D21"/>
    <w:rsid w:val="00A2404D"/>
    <w:rsid w:val="00A30F51"/>
    <w:rsid w:val="00A31FE7"/>
    <w:rsid w:val="00A32D22"/>
    <w:rsid w:val="00A33EB6"/>
    <w:rsid w:val="00A35685"/>
    <w:rsid w:val="00A3706B"/>
    <w:rsid w:val="00A527DD"/>
    <w:rsid w:val="00A56D1D"/>
    <w:rsid w:val="00A61468"/>
    <w:rsid w:val="00A649EF"/>
    <w:rsid w:val="00A72858"/>
    <w:rsid w:val="00A8657B"/>
    <w:rsid w:val="00AA0953"/>
    <w:rsid w:val="00AA20C0"/>
    <w:rsid w:val="00AA6731"/>
    <w:rsid w:val="00AB0654"/>
    <w:rsid w:val="00AB065E"/>
    <w:rsid w:val="00AB2FB5"/>
    <w:rsid w:val="00AB335E"/>
    <w:rsid w:val="00AB433A"/>
    <w:rsid w:val="00AB4812"/>
    <w:rsid w:val="00AB6D36"/>
    <w:rsid w:val="00AC1E9E"/>
    <w:rsid w:val="00AC4DFF"/>
    <w:rsid w:val="00AC63E9"/>
    <w:rsid w:val="00AD6E2F"/>
    <w:rsid w:val="00AE3901"/>
    <w:rsid w:val="00AE3CC6"/>
    <w:rsid w:val="00AE4328"/>
    <w:rsid w:val="00AE63F9"/>
    <w:rsid w:val="00AF4357"/>
    <w:rsid w:val="00AF4CFF"/>
    <w:rsid w:val="00AF6842"/>
    <w:rsid w:val="00B02E86"/>
    <w:rsid w:val="00B035C4"/>
    <w:rsid w:val="00B03F5C"/>
    <w:rsid w:val="00B15408"/>
    <w:rsid w:val="00B16A1C"/>
    <w:rsid w:val="00B16C4F"/>
    <w:rsid w:val="00B2365E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859"/>
    <w:rsid w:val="00B47F77"/>
    <w:rsid w:val="00B6698A"/>
    <w:rsid w:val="00B6703E"/>
    <w:rsid w:val="00B70CDB"/>
    <w:rsid w:val="00B7132D"/>
    <w:rsid w:val="00B720FA"/>
    <w:rsid w:val="00B72B4F"/>
    <w:rsid w:val="00B730B5"/>
    <w:rsid w:val="00B776F4"/>
    <w:rsid w:val="00B81891"/>
    <w:rsid w:val="00B82BE4"/>
    <w:rsid w:val="00B8335B"/>
    <w:rsid w:val="00B92079"/>
    <w:rsid w:val="00B96CD4"/>
    <w:rsid w:val="00BA4A04"/>
    <w:rsid w:val="00BC1DE4"/>
    <w:rsid w:val="00BC3ECA"/>
    <w:rsid w:val="00BD0DA1"/>
    <w:rsid w:val="00BD15F8"/>
    <w:rsid w:val="00BD1EF0"/>
    <w:rsid w:val="00BD29F5"/>
    <w:rsid w:val="00BD495E"/>
    <w:rsid w:val="00BD5909"/>
    <w:rsid w:val="00BF5800"/>
    <w:rsid w:val="00C00B43"/>
    <w:rsid w:val="00C0631E"/>
    <w:rsid w:val="00C078BD"/>
    <w:rsid w:val="00C12BD1"/>
    <w:rsid w:val="00C20775"/>
    <w:rsid w:val="00C25D9A"/>
    <w:rsid w:val="00C305D8"/>
    <w:rsid w:val="00C35EBF"/>
    <w:rsid w:val="00C408CB"/>
    <w:rsid w:val="00C535AE"/>
    <w:rsid w:val="00C54023"/>
    <w:rsid w:val="00C554EC"/>
    <w:rsid w:val="00C57F73"/>
    <w:rsid w:val="00C6580E"/>
    <w:rsid w:val="00C65AF4"/>
    <w:rsid w:val="00C662C4"/>
    <w:rsid w:val="00C66A0E"/>
    <w:rsid w:val="00C7615B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18E6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63F7"/>
    <w:rsid w:val="00D36725"/>
    <w:rsid w:val="00D37935"/>
    <w:rsid w:val="00D4265B"/>
    <w:rsid w:val="00D5134E"/>
    <w:rsid w:val="00D5679E"/>
    <w:rsid w:val="00D62561"/>
    <w:rsid w:val="00D65822"/>
    <w:rsid w:val="00D72482"/>
    <w:rsid w:val="00D72F25"/>
    <w:rsid w:val="00D824A0"/>
    <w:rsid w:val="00D86B6D"/>
    <w:rsid w:val="00D94411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705"/>
    <w:rsid w:val="00DB3A9E"/>
    <w:rsid w:val="00DC1E61"/>
    <w:rsid w:val="00DC3781"/>
    <w:rsid w:val="00DC3B42"/>
    <w:rsid w:val="00DC42E2"/>
    <w:rsid w:val="00DC44AA"/>
    <w:rsid w:val="00DC6BE2"/>
    <w:rsid w:val="00DE02A8"/>
    <w:rsid w:val="00DE1696"/>
    <w:rsid w:val="00DE1D72"/>
    <w:rsid w:val="00DE4079"/>
    <w:rsid w:val="00DE4580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34B61"/>
    <w:rsid w:val="00E36286"/>
    <w:rsid w:val="00E751FE"/>
    <w:rsid w:val="00E76C94"/>
    <w:rsid w:val="00E773BA"/>
    <w:rsid w:val="00E802F0"/>
    <w:rsid w:val="00E83BE1"/>
    <w:rsid w:val="00E87DB7"/>
    <w:rsid w:val="00E95FB5"/>
    <w:rsid w:val="00E95FCB"/>
    <w:rsid w:val="00EA2A64"/>
    <w:rsid w:val="00EB33A1"/>
    <w:rsid w:val="00EB56D2"/>
    <w:rsid w:val="00EB6B2C"/>
    <w:rsid w:val="00EC058D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7BAC"/>
    <w:rsid w:val="00F1151F"/>
    <w:rsid w:val="00F128BC"/>
    <w:rsid w:val="00F14374"/>
    <w:rsid w:val="00F17EA4"/>
    <w:rsid w:val="00F17F51"/>
    <w:rsid w:val="00F21548"/>
    <w:rsid w:val="00F24034"/>
    <w:rsid w:val="00F30298"/>
    <w:rsid w:val="00F31F01"/>
    <w:rsid w:val="00F33E00"/>
    <w:rsid w:val="00F350B0"/>
    <w:rsid w:val="00F37ACE"/>
    <w:rsid w:val="00F42899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E25"/>
    <w:rsid w:val="00FB3F61"/>
    <w:rsid w:val="00FC118E"/>
    <w:rsid w:val="00FC31A5"/>
    <w:rsid w:val="00FC5B57"/>
    <w:rsid w:val="00FD3479"/>
    <w:rsid w:val="00FD3F32"/>
    <w:rsid w:val="00FE046A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2AD3-1A4D-4077-875F-8B87E26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2017-01-03T17:59:00Z</dcterms:created>
  <dcterms:modified xsi:type="dcterms:W3CDTF">2017-01-03T17:59:00Z</dcterms:modified>
</cp:coreProperties>
</file>