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61EFBD26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6622B852" w:rsidR="003602B1" w:rsidRDefault="00820FB7" w:rsidP="00820FB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61F98" wp14:editId="4EF6E315">
                                  <wp:extent cx="2484755" cy="532130"/>
                                  <wp:effectExtent l="0" t="0" r="0" b="127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6622B852" w:rsidR="003602B1" w:rsidRDefault="00820FB7" w:rsidP="00820FB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061F98" wp14:editId="4EF6E315">
                            <wp:extent cx="2484755" cy="532130"/>
                            <wp:effectExtent l="0" t="0" r="0" b="127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467E4F">
        <w:rPr>
          <w:rFonts w:ascii="Segoe UI" w:hAnsi="Segoe UI" w:cs="Segoe UI"/>
          <w:b/>
          <w:sz w:val="32"/>
          <w:szCs w:val="32"/>
        </w:rPr>
        <w:t>Turkey</w:t>
      </w:r>
    </w:p>
    <w:p w14:paraId="42CEBF0C" w14:textId="7E3F58ED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4E042261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0FA7C420" w:rsidR="00DE70E0" w:rsidRDefault="00FD2FFA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63712" behindDoc="0" locked="0" layoutInCell="1" allowOverlap="1" wp14:anchorId="0D54EABA" wp14:editId="0C7E58EF">
            <wp:simplePos x="0" y="0"/>
            <wp:positionH relativeFrom="column">
              <wp:posOffset>3657600</wp:posOffset>
            </wp:positionH>
            <wp:positionV relativeFrom="paragraph">
              <wp:posOffset>64135</wp:posOffset>
            </wp:positionV>
            <wp:extent cx="3392170" cy="207518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78BB68B6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7D4DB080" w:rsidR="00B43178" w:rsidRPr="00F31F01" w:rsidRDefault="00467E4F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 xml:space="preserve">Turkey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>
        <w:rPr>
          <w:rFonts w:ascii="Segoe UI" w:hAnsi="Segoe UI" w:cs="Segoe UI"/>
          <w:b/>
          <w:sz w:val="28"/>
          <w:szCs w:val="28"/>
        </w:rPr>
        <w:t>9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342A91AE" w:rsidR="00F91B89" w:rsidRDefault="009F72B6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71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>
        <w:rPr>
          <w:rFonts w:ascii="Segoe UI" w:hAnsi="Segoe UI" w:cs="Segoe UI"/>
          <w:sz w:val="20"/>
          <w:szCs w:val="20"/>
        </w:rPr>
        <w:t>Turkey</w:t>
      </w:r>
      <w:r w:rsidR="00C973E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was above 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>average</w:t>
      </w:r>
      <w:r w:rsidR="00F3704E">
        <w:rPr>
          <w:rFonts w:ascii="Segoe UI" w:hAnsi="Segoe UI" w:cs="Segoe UI"/>
          <w:sz w:val="20"/>
          <w:szCs w:val="20"/>
        </w:rPr>
        <w:t xml:space="preserve"> on </w:t>
      </w:r>
      <w:r>
        <w:rPr>
          <w:rFonts w:ascii="Segoe UI" w:hAnsi="Segoe UI" w:cs="Segoe UI"/>
          <w:sz w:val="20"/>
          <w:szCs w:val="20"/>
        </w:rPr>
        <w:t xml:space="preserve">Behavioral </w:t>
      </w:r>
      <w:r w:rsidR="00F3704E">
        <w:rPr>
          <w:rFonts w:ascii="Segoe UI" w:hAnsi="Segoe UI" w:cs="Segoe UI"/>
          <w:sz w:val="20"/>
          <w:szCs w:val="20"/>
        </w:rPr>
        <w:t xml:space="preserve">risks and </w:t>
      </w:r>
      <w:r w:rsidR="00B76105">
        <w:rPr>
          <w:rFonts w:ascii="Segoe UI" w:hAnsi="Segoe UI" w:cs="Segoe UI"/>
          <w:sz w:val="20"/>
          <w:szCs w:val="20"/>
        </w:rPr>
        <w:t xml:space="preserve">was </w:t>
      </w:r>
      <w:r>
        <w:rPr>
          <w:rFonts w:ascii="Segoe UI" w:hAnsi="Segoe UI" w:cs="Segoe UI"/>
          <w:sz w:val="20"/>
          <w:szCs w:val="20"/>
        </w:rPr>
        <w:t>equal to the international averages on the other three risk categories.</w:t>
      </w:r>
    </w:p>
    <w:p w14:paraId="21CA0B5C" w14:textId="35744ACF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04E038A9" w:rsidR="00CD6852" w:rsidRPr="003863D0" w:rsidRDefault="00FD2FF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FD2FFA">
        <w:rPr>
          <w:noProof/>
        </w:rPr>
        <w:drawing>
          <wp:anchor distT="0" distB="0" distL="114300" distR="114300" simplePos="0" relativeHeight="251764736" behindDoc="0" locked="0" layoutInCell="1" allowOverlap="1" wp14:anchorId="13A9F0D7" wp14:editId="296403EB">
            <wp:simplePos x="0" y="0"/>
            <wp:positionH relativeFrom="column">
              <wp:posOffset>3718560</wp:posOffset>
            </wp:positionH>
            <wp:positionV relativeFrom="paragraph">
              <wp:posOffset>38100</wp:posOffset>
            </wp:positionV>
            <wp:extent cx="3392170" cy="39681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B6">
        <w:rPr>
          <w:rFonts w:ascii="Segoe UI" w:hAnsi="Segoe UI" w:cs="Segoe UI"/>
          <w:b/>
          <w:sz w:val="20"/>
          <w:szCs w:val="20"/>
        </w:rPr>
        <w:t>Behavioral</w:t>
      </w:r>
    </w:p>
    <w:p w14:paraId="66A0F584" w14:textId="6AA69BC2" w:rsidR="00CD6852" w:rsidRPr="009F72B6" w:rsidRDefault="009F72B6" w:rsidP="00D034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9F72B6">
        <w:rPr>
          <w:rFonts w:ascii="Segoe UI" w:hAnsi="Segoe UI" w:cs="Segoe UI"/>
          <w:sz w:val="20"/>
          <w:szCs w:val="20"/>
        </w:rPr>
        <w:t xml:space="preserve">Behavioral risk was the most common risk category and exceeded the international average by 16-points (54%, 38%). Trolling (44%) was the primary driver of Behavioral risks and had the highest incidence of any risk. </w:t>
      </w:r>
    </w:p>
    <w:p w14:paraId="58B88751" w14:textId="11DCD3BE" w:rsidR="00314C05" w:rsidRPr="003863D0" w:rsidRDefault="009F72B6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45EA968B" w14:textId="77C5E346" w:rsidR="009F72B6" w:rsidRPr="009F72B6" w:rsidRDefault="009F72B6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Unwanted contact (37%) was ranked second among all risks and the primary driver of the Intrusive risk category. </w:t>
      </w:r>
      <w:r w:rsidR="00DE151B">
        <w:rPr>
          <w:rFonts w:ascii="Segoe UI" w:hAnsi="Segoe UI" w:cs="Segoe UI"/>
          <w:sz w:val="20"/>
          <w:szCs w:val="20"/>
        </w:rPr>
        <w:t xml:space="preserve">Hate speech was significantly higher in Turkey than international (24%, 15%). </w:t>
      </w:r>
    </w:p>
    <w:p w14:paraId="33246E9C" w14:textId="77777777" w:rsidR="009F72B6" w:rsidRPr="00552A1D" w:rsidRDefault="009F72B6" w:rsidP="009F72B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0A93B549" w14:textId="0917B2E9" w:rsidR="009F72B6" w:rsidRDefault="00DE151B" w:rsidP="00E65C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</w:t>
      </w:r>
      <w:r w:rsidR="00E7750D">
        <w:rPr>
          <w:rFonts w:ascii="Segoe UI" w:hAnsi="Segoe UI" w:cs="Segoe UI"/>
          <w:sz w:val="20"/>
          <w:szCs w:val="20"/>
        </w:rPr>
        <w:t xml:space="preserve">nsumers </w:t>
      </w:r>
      <w:r>
        <w:rPr>
          <w:rFonts w:ascii="Segoe UI" w:hAnsi="Segoe UI" w:cs="Segoe UI"/>
          <w:sz w:val="20"/>
          <w:szCs w:val="20"/>
        </w:rPr>
        <w:t>in Turkey</w:t>
      </w:r>
      <w:r w:rsidR="009F72B6" w:rsidRPr="009F72B6">
        <w:rPr>
          <w:rFonts w:ascii="Segoe UI" w:hAnsi="Segoe UI" w:cs="Segoe UI"/>
          <w:sz w:val="20"/>
          <w:szCs w:val="20"/>
        </w:rPr>
        <w:t xml:space="preserve"> had a</w:t>
      </w:r>
      <w:r>
        <w:rPr>
          <w:rFonts w:ascii="Segoe UI" w:hAnsi="Segoe UI" w:cs="Segoe UI"/>
          <w:sz w:val="20"/>
          <w:szCs w:val="20"/>
        </w:rPr>
        <w:t>n equal c</w:t>
      </w:r>
      <w:r w:rsidR="009F72B6" w:rsidRPr="009F72B6">
        <w:rPr>
          <w:rFonts w:ascii="Segoe UI" w:hAnsi="Segoe UI" w:cs="Segoe UI"/>
          <w:sz w:val="20"/>
          <w:szCs w:val="20"/>
        </w:rPr>
        <w:t xml:space="preserve">hance of </w:t>
      </w:r>
      <w:r w:rsidR="00E7750D">
        <w:rPr>
          <w:rFonts w:ascii="Segoe UI" w:hAnsi="Segoe UI" w:cs="Segoe UI"/>
          <w:sz w:val="20"/>
          <w:szCs w:val="20"/>
        </w:rPr>
        <w:t xml:space="preserve">exposure to a </w:t>
      </w:r>
      <w:r w:rsidR="009F72B6" w:rsidRPr="009F72B6">
        <w:rPr>
          <w:rFonts w:ascii="Segoe UI" w:hAnsi="Segoe UI" w:cs="Segoe UI"/>
          <w:sz w:val="20"/>
          <w:szCs w:val="20"/>
        </w:rPr>
        <w:t>Sexual online risk compared to international (</w:t>
      </w:r>
      <w:r>
        <w:rPr>
          <w:rFonts w:ascii="Segoe UI" w:hAnsi="Segoe UI" w:cs="Segoe UI"/>
          <w:sz w:val="20"/>
          <w:szCs w:val="20"/>
        </w:rPr>
        <w:t>30</w:t>
      </w:r>
      <w:r w:rsidR="009F72B6" w:rsidRPr="009F72B6">
        <w:rPr>
          <w:rFonts w:ascii="Segoe UI" w:hAnsi="Segoe UI" w:cs="Segoe UI"/>
          <w:sz w:val="20"/>
          <w:szCs w:val="20"/>
        </w:rPr>
        <w:t>%, 3</w:t>
      </w:r>
      <w:r>
        <w:rPr>
          <w:rFonts w:ascii="Segoe UI" w:hAnsi="Segoe UI" w:cs="Segoe UI"/>
          <w:sz w:val="20"/>
          <w:szCs w:val="20"/>
        </w:rPr>
        <w:t>0</w:t>
      </w:r>
      <w:r w:rsidR="009F72B6" w:rsidRPr="009F72B6">
        <w:rPr>
          <w:rFonts w:ascii="Segoe UI" w:hAnsi="Segoe UI" w:cs="Segoe UI"/>
          <w:sz w:val="20"/>
          <w:szCs w:val="20"/>
        </w:rPr>
        <w:t xml:space="preserve">%).  </w:t>
      </w:r>
    </w:p>
    <w:p w14:paraId="33EE0AC7" w14:textId="59C113FA" w:rsidR="009F72B6" w:rsidRPr="009F72B6" w:rsidRDefault="009F72B6" w:rsidP="00E65C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9F72B6">
        <w:rPr>
          <w:rFonts w:ascii="Segoe UI" w:hAnsi="Segoe UI" w:cs="Segoe UI"/>
          <w:sz w:val="20"/>
          <w:szCs w:val="20"/>
        </w:rPr>
        <w:t>Unwanted sexting (received</w:t>
      </w:r>
      <w:r w:rsidR="00DE151B">
        <w:rPr>
          <w:rFonts w:ascii="Segoe UI" w:hAnsi="Segoe UI" w:cs="Segoe UI"/>
          <w:sz w:val="20"/>
          <w:szCs w:val="20"/>
        </w:rPr>
        <w:t xml:space="preserve"> or sent</w:t>
      </w:r>
      <w:r w:rsidRPr="009F72B6">
        <w:rPr>
          <w:rFonts w:ascii="Segoe UI" w:hAnsi="Segoe UI" w:cs="Segoe UI"/>
          <w:sz w:val="20"/>
          <w:szCs w:val="20"/>
        </w:rPr>
        <w:t xml:space="preserve">, </w:t>
      </w:r>
      <w:r w:rsidR="00DE151B">
        <w:rPr>
          <w:rFonts w:ascii="Segoe UI" w:hAnsi="Segoe UI" w:cs="Segoe UI"/>
          <w:sz w:val="20"/>
          <w:szCs w:val="20"/>
        </w:rPr>
        <w:t>29</w:t>
      </w:r>
      <w:r w:rsidR="0077280B">
        <w:rPr>
          <w:rFonts w:ascii="Segoe UI" w:hAnsi="Segoe UI" w:cs="Segoe UI"/>
          <w:sz w:val="20"/>
          <w:szCs w:val="20"/>
        </w:rPr>
        <w:t>%) and S</w:t>
      </w:r>
      <w:r w:rsidRPr="009F72B6">
        <w:rPr>
          <w:rFonts w:ascii="Segoe UI" w:hAnsi="Segoe UI" w:cs="Segoe UI"/>
          <w:sz w:val="20"/>
          <w:szCs w:val="20"/>
        </w:rPr>
        <w:t>exual solicitation (</w:t>
      </w:r>
      <w:r w:rsidR="00DE151B">
        <w:rPr>
          <w:rFonts w:ascii="Segoe UI" w:hAnsi="Segoe UI" w:cs="Segoe UI"/>
          <w:sz w:val="20"/>
          <w:szCs w:val="20"/>
        </w:rPr>
        <w:t>1</w:t>
      </w:r>
      <w:r w:rsidRPr="009F72B6">
        <w:rPr>
          <w:rFonts w:ascii="Segoe UI" w:hAnsi="Segoe UI" w:cs="Segoe UI"/>
          <w:sz w:val="20"/>
          <w:szCs w:val="20"/>
        </w:rPr>
        <w:t>8%) were the most common sexual risks</w:t>
      </w:r>
      <w:r w:rsidR="00DE151B">
        <w:rPr>
          <w:rFonts w:ascii="Segoe UI" w:hAnsi="Segoe UI" w:cs="Segoe UI"/>
          <w:sz w:val="20"/>
          <w:szCs w:val="20"/>
        </w:rPr>
        <w:t>.</w:t>
      </w:r>
    </w:p>
    <w:p w14:paraId="5300F3D1" w14:textId="16436E60" w:rsidR="00552A1D" w:rsidRPr="00552A1D" w:rsidRDefault="00552A1D" w:rsidP="009F72B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284495B0" w14:textId="79A8B346" w:rsidR="004A4F7E" w:rsidRPr="00DE151B" w:rsidRDefault="00552A1D" w:rsidP="00DE151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 xml:space="preserve">People encountered Reputational risks at </w:t>
      </w:r>
      <w:r w:rsidR="00DE151B">
        <w:rPr>
          <w:rFonts w:ascii="Segoe UI" w:hAnsi="Segoe UI" w:cs="Segoe UI"/>
          <w:sz w:val="20"/>
          <w:szCs w:val="20"/>
        </w:rPr>
        <w:t xml:space="preserve">the same </w:t>
      </w:r>
      <w:r w:rsidRPr="00552A1D">
        <w:rPr>
          <w:rFonts w:ascii="Segoe UI" w:hAnsi="Segoe UI" w:cs="Segoe UI"/>
          <w:sz w:val="20"/>
          <w:szCs w:val="20"/>
        </w:rPr>
        <w:t>rate vs. international (1</w:t>
      </w:r>
      <w:r w:rsidR="00DE151B">
        <w:rPr>
          <w:rFonts w:ascii="Segoe UI" w:hAnsi="Segoe UI" w:cs="Segoe UI"/>
          <w:sz w:val="20"/>
          <w:szCs w:val="20"/>
        </w:rPr>
        <w:t>8</w:t>
      </w:r>
      <w:r w:rsidRPr="00552A1D">
        <w:rPr>
          <w:rFonts w:ascii="Segoe UI" w:hAnsi="Segoe UI" w:cs="Segoe UI"/>
          <w:sz w:val="20"/>
          <w:szCs w:val="20"/>
        </w:rPr>
        <w:t xml:space="preserve">% vs. 19%) led by </w:t>
      </w:r>
      <w:r w:rsidR="00DE151B">
        <w:rPr>
          <w:rFonts w:ascii="Segoe UI" w:hAnsi="Segoe UI" w:cs="Segoe UI"/>
          <w:sz w:val="20"/>
          <w:szCs w:val="20"/>
        </w:rPr>
        <w:t>Doxing (11%) and D</w:t>
      </w:r>
      <w:r w:rsidRPr="00552A1D">
        <w:rPr>
          <w:rFonts w:ascii="Segoe UI" w:hAnsi="Segoe UI" w:cs="Segoe UI"/>
          <w:sz w:val="20"/>
          <w:szCs w:val="20"/>
        </w:rPr>
        <w:t xml:space="preserve">amage to personal reputation </w:t>
      </w:r>
      <w:r w:rsidR="00DE151B">
        <w:rPr>
          <w:rFonts w:ascii="Segoe UI" w:hAnsi="Segoe UI" w:cs="Segoe UI"/>
          <w:sz w:val="20"/>
          <w:szCs w:val="20"/>
        </w:rPr>
        <w:t>(8</w:t>
      </w:r>
      <w:r w:rsidRPr="00552A1D">
        <w:rPr>
          <w:rFonts w:ascii="Segoe UI" w:hAnsi="Segoe UI" w:cs="Segoe UI"/>
          <w:sz w:val="20"/>
          <w:szCs w:val="20"/>
        </w:rPr>
        <w:t>%).</w:t>
      </w:r>
    </w:p>
    <w:p w14:paraId="6A2F4558" w14:textId="5B748B41" w:rsidR="007242A3" w:rsidRDefault="007242A3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67F75E3D" w:rsidR="00821F5C" w:rsidRPr="00D36725" w:rsidRDefault="00ED34D6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3B78A520" wp14:editId="73B9A8E2">
            <wp:simplePos x="0" y="0"/>
            <wp:positionH relativeFrom="column">
              <wp:posOffset>3619500</wp:posOffset>
            </wp:positionH>
            <wp:positionV relativeFrom="paragraph">
              <wp:posOffset>472440</wp:posOffset>
            </wp:positionV>
            <wp:extent cx="3392170" cy="3364865"/>
            <wp:effectExtent l="0" t="0" r="0" b="69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15696BD3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CBE42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3C454606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2E55C3EF" w:rsidR="006C36D4" w:rsidRDefault="00E7456B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76% of consumers in Turkey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>This was si</w:t>
      </w:r>
      <w:r>
        <w:rPr>
          <w:rFonts w:ascii="Segoe UI" w:hAnsi="Segoe UI" w:cs="Segoe UI"/>
          <w:sz w:val="20"/>
          <w:szCs w:val="20"/>
        </w:rPr>
        <w:t xml:space="preserve">gnificantly higher than </w:t>
      </w:r>
      <w:r w:rsidR="00AA6731">
        <w:rPr>
          <w:rFonts w:ascii="Segoe UI" w:hAnsi="Segoe UI" w:cs="Segoe UI"/>
          <w:sz w:val="20"/>
          <w:szCs w:val="20"/>
        </w:rPr>
        <w:t>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54CE6371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D54599">
        <w:rPr>
          <w:rFonts w:ascii="Segoe UI" w:hAnsi="Segoe UI" w:cs="Segoe UI"/>
          <w:sz w:val="20"/>
          <w:szCs w:val="20"/>
        </w:rPr>
        <w:t>5</w:t>
      </w:r>
      <w:r w:rsidR="009F1C11">
        <w:rPr>
          <w:rFonts w:ascii="Segoe UI" w:hAnsi="Segoe UI" w:cs="Segoe UI"/>
          <w:sz w:val="20"/>
          <w:szCs w:val="20"/>
        </w:rPr>
        <w:t xml:space="preserve">0%)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D54599">
        <w:rPr>
          <w:rFonts w:ascii="Segoe UI" w:hAnsi="Segoe UI" w:cs="Segoe UI"/>
          <w:sz w:val="20"/>
          <w:szCs w:val="20"/>
        </w:rPr>
        <w:t xml:space="preserve"> (42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As a result,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6071F0CF" w:rsidR="00831BE6" w:rsidRDefault="00D5459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43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0971D7"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 w:rsidR="00116AC7">
        <w:rPr>
          <w:rFonts w:ascii="Segoe UI" w:hAnsi="Segoe UI" w:cs="Segoe UI"/>
          <w:sz w:val="20"/>
          <w:szCs w:val="20"/>
        </w:rPr>
        <w:t xml:space="preserve">much </w:t>
      </w:r>
      <w:r w:rsidR="000971D7">
        <w:rPr>
          <w:rFonts w:ascii="Segoe UI" w:hAnsi="Segoe UI" w:cs="Segoe UI"/>
          <w:sz w:val="20"/>
          <w:szCs w:val="20"/>
        </w:rPr>
        <w:t>higher</w:t>
      </w:r>
      <w:r w:rsidR="00116AC7">
        <w:rPr>
          <w:rFonts w:ascii="Segoe UI" w:hAnsi="Segoe UI" w:cs="Segoe UI"/>
          <w:sz w:val="20"/>
          <w:szCs w:val="20"/>
        </w:rPr>
        <w:t xml:space="preserve"> in </w:t>
      </w:r>
      <w:r w:rsidR="000971D7">
        <w:rPr>
          <w:rFonts w:ascii="Segoe UI" w:hAnsi="Segoe UI" w:cs="Segoe UI"/>
          <w:sz w:val="20"/>
          <w:szCs w:val="20"/>
        </w:rPr>
        <w:t>Turkey</w:t>
      </w:r>
      <w:r w:rsidR="00116AC7">
        <w:rPr>
          <w:rFonts w:ascii="Segoe UI" w:hAnsi="Segoe UI" w:cs="Segoe UI"/>
          <w:sz w:val="20"/>
          <w:szCs w:val="20"/>
        </w:rPr>
        <w:t xml:space="preserve"> vs. </w:t>
      </w:r>
      <w:r w:rsidR="00AA6731">
        <w:rPr>
          <w:rFonts w:ascii="Segoe UI" w:hAnsi="Segoe UI" w:cs="Segoe UI"/>
          <w:sz w:val="20"/>
          <w:szCs w:val="20"/>
        </w:rPr>
        <w:t>international (2</w:t>
      </w:r>
      <w:r w:rsidR="000971D7">
        <w:rPr>
          <w:rFonts w:ascii="Segoe UI" w:hAnsi="Segoe UI" w:cs="Segoe UI"/>
          <w:sz w:val="20"/>
          <w:szCs w:val="20"/>
        </w:rPr>
        <w:t>5</w:t>
      </w:r>
      <w:r w:rsidR="00AA6731">
        <w:rPr>
          <w:rFonts w:ascii="Segoe UI" w:hAnsi="Segoe UI" w:cs="Segoe UI"/>
          <w:sz w:val="20"/>
          <w:szCs w:val="20"/>
        </w:rPr>
        <w:t>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E45D1E5" w14:textId="3538EF8F" w:rsidR="00FB0324" w:rsidRDefault="00AB4BEE" w:rsidP="0020724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FB0324" w:rsidSect="00FB03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971D7">
        <w:rPr>
          <w:rFonts w:ascii="Segoe UI" w:hAnsi="Segoe UI" w:cs="Segoe UI"/>
          <w:sz w:val="20"/>
          <w:szCs w:val="20"/>
        </w:rPr>
        <w:t>In general, c</w:t>
      </w:r>
      <w:r w:rsidR="00AB433A" w:rsidRPr="000971D7">
        <w:rPr>
          <w:rFonts w:ascii="Segoe UI" w:hAnsi="Segoe UI" w:cs="Segoe UI"/>
          <w:sz w:val="20"/>
          <w:szCs w:val="20"/>
        </w:rPr>
        <w:t xml:space="preserve">onsequences were </w:t>
      </w:r>
      <w:r w:rsidR="00C535AE" w:rsidRPr="000971D7">
        <w:rPr>
          <w:rFonts w:ascii="Segoe UI" w:hAnsi="Segoe UI" w:cs="Segoe UI"/>
          <w:sz w:val="20"/>
          <w:szCs w:val="20"/>
        </w:rPr>
        <w:t xml:space="preserve">felt </w:t>
      </w:r>
      <w:r w:rsidR="000971D7" w:rsidRPr="000971D7">
        <w:rPr>
          <w:rFonts w:ascii="Segoe UI" w:hAnsi="Segoe UI" w:cs="Segoe UI"/>
          <w:sz w:val="20"/>
          <w:szCs w:val="20"/>
        </w:rPr>
        <w:t>more strongly in Turkey than outside the country</w:t>
      </w:r>
      <w:r w:rsidRPr="000971D7">
        <w:rPr>
          <w:rFonts w:ascii="Segoe UI" w:hAnsi="Segoe UI" w:cs="Segoe UI"/>
          <w:sz w:val="20"/>
          <w:szCs w:val="20"/>
        </w:rPr>
        <w:t>.</w:t>
      </w:r>
      <w:r w:rsidR="000971D7" w:rsidRPr="000971D7">
        <w:rPr>
          <w:rFonts w:ascii="Segoe UI" w:hAnsi="Segoe UI" w:cs="Segoe UI"/>
          <w:sz w:val="20"/>
          <w:szCs w:val="20"/>
        </w:rPr>
        <w:t xml:space="preserve"> The largest gaps with international incidence rates were in Tried to be more constructive in my criticism (+18), Became less trusting o</w:t>
      </w:r>
      <w:r w:rsidR="00CE237F">
        <w:rPr>
          <w:rFonts w:ascii="Segoe UI" w:hAnsi="Segoe UI" w:cs="Segoe UI"/>
          <w:sz w:val="20"/>
          <w:szCs w:val="20"/>
        </w:rPr>
        <w:t>ffline</w:t>
      </w:r>
      <w:r w:rsidR="000971D7" w:rsidRPr="000971D7">
        <w:rPr>
          <w:rFonts w:ascii="Segoe UI" w:hAnsi="Segoe UI" w:cs="Segoe UI"/>
          <w:sz w:val="20"/>
          <w:szCs w:val="20"/>
        </w:rPr>
        <w:t xml:space="preserve"> (+1</w:t>
      </w:r>
      <w:r w:rsidR="00CE237F">
        <w:rPr>
          <w:rFonts w:ascii="Segoe UI" w:hAnsi="Segoe UI" w:cs="Segoe UI"/>
          <w:sz w:val="20"/>
          <w:szCs w:val="20"/>
        </w:rPr>
        <w:t>3</w:t>
      </w:r>
      <w:r w:rsidR="000971D7" w:rsidRPr="000971D7">
        <w:rPr>
          <w:rFonts w:ascii="Segoe UI" w:hAnsi="Segoe UI" w:cs="Segoe UI"/>
          <w:sz w:val="20"/>
          <w:szCs w:val="20"/>
        </w:rPr>
        <w:t>), Bec</w:t>
      </w:r>
      <w:r w:rsidR="00FB0324">
        <w:rPr>
          <w:rFonts w:ascii="Segoe UI" w:hAnsi="Segoe UI" w:cs="Segoe UI"/>
          <w:sz w:val="20"/>
          <w:szCs w:val="20"/>
        </w:rPr>
        <w:t>ame less trusting o</w:t>
      </w:r>
      <w:r w:rsidR="00CE237F">
        <w:rPr>
          <w:rFonts w:ascii="Segoe UI" w:hAnsi="Segoe UI" w:cs="Segoe UI"/>
          <w:sz w:val="20"/>
          <w:szCs w:val="20"/>
        </w:rPr>
        <w:t>nline</w:t>
      </w:r>
      <w:r w:rsidR="00FB0324">
        <w:rPr>
          <w:rFonts w:ascii="Segoe UI" w:hAnsi="Segoe UI" w:cs="Segoe UI"/>
          <w:sz w:val="20"/>
          <w:szCs w:val="20"/>
        </w:rPr>
        <w:t xml:space="preserve"> (+1</w:t>
      </w:r>
      <w:r w:rsidR="00CE237F">
        <w:rPr>
          <w:rFonts w:ascii="Segoe UI" w:hAnsi="Segoe UI" w:cs="Segoe UI"/>
          <w:sz w:val="20"/>
          <w:szCs w:val="20"/>
        </w:rPr>
        <w:t>1</w:t>
      </w:r>
      <w:r w:rsidR="00FB0324">
        <w:rPr>
          <w:rFonts w:ascii="Segoe UI" w:hAnsi="Segoe UI" w:cs="Segoe UI"/>
          <w:sz w:val="20"/>
          <w:szCs w:val="20"/>
        </w:rPr>
        <w:t>).</w:t>
      </w:r>
    </w:p>
    <w:p w14:paraId="0F38EE61" w14:textId="0D4FD1D0" w:rsidR="00340DB8" w:rsidRPr="00FB0324" w:rsidRDefault="00340DB8" w:rsidP="00FB03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3A371AC5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6F0ADB7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546BA1E3">
                <wp:simplePos x="0" y="0"/>
                <wp:positionH relativeFrom="column">
                  <wp:posOffset>3596640</wp:posOffset>
                </wp:positionH>
                <wp:positionV relativeFrom="paragraph">
                  <wp:posOffset>189230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97302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9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" strokecolor="gray [1629]" strokeweight=".5pt"/>
            </w:pict>
          </mc:Fallback>
        </mc:AlternateContent>
      </w:r>
    </w:p>
    <w:p w14:paraId="0A5E3F2D" w14:textId="2D47B9C4" w:rsidR="004278A7" w:rsidRDefault="00956052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956052">
        <w:rPr>
          <w:noProof/>
        </w:rPr>
        <w:drawing>
          <wp:anchor distT="0" distB="0" distL="114300" distR="114300" simplePos="0" relativeHeight="251765760" behindDoc="0" locked="0" layoutInCell="1" allowOverlap="1" wp14:anchorId="261DD895" wp14:editId="40802509">
            <wp:simplePos x="0" y="0"/>
            <wp:positionH relativeFrom="column">
              <wp:posOffset>3649980</wp:posOffset>
            </wp:positionH>
            <wp:positionV relativeFrom="paragraph">
              <wp:posOffset>378460</wp:posOffset>
            </wp:positionV>
            <wp:extent cx="3392424" cy="4151376"/>
            <wp:effectExtent l="0" t="0" r="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0ACD2D50" w:rsidR="00371E9C" w:rsidRPr="00AB4812" w:rsidRDefault="00A029C7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More than half of consumers in Turkey had strong concerns across a</w:t>
      </w:r>
      <w:r w:rsidR="00E76F53">
        <w:rPr>
          <w:rFonts w:ascii="Segoe UI" w:hAnsi="Segoe UI" w:cs="Segoe UI"/>
          <w:sz w:val="20"/>
          <w:szCs w:val="20"/>
        </w:rPr>
        <w:t xml:space="preserve">ll four </w:t>
      </w:r>
      <w:r>
        <w:rPr>
          <w:rFonts w:ascii="Segoe UI" w:hAnsi="Segoe UI" w:cs="Segoe UI"/>
          <w:sz w:val="20"/>
          <w:szCs w:val="20"/>
        </w:rPr>
        <w:t xml:space="preserve">risk </w:t>
      </w:r>
      <w:r w:rsidR="00E76F53">
        <w:rPr>
          <w:rFonts w:ascii="Segoe UI" w:hAnsi="Segoe UI" w:cs="Segoe UI"/>
          <w:sz w:val="20"/>
          <w:szCs w:val="20"/>
        </w:rPr>
        <w:t>categories</w:t>
      </w:r>
      <w:r>
        <w:rPr>
          <w:rFonts w:ascii="Segoe UI" w:hAnsi="Segoe UI" w:cs="Segoe UI"/>
          <w:sz w:val="20"/>
          <w:szCs w:val="20"/>
        </w:rPr>
        <w:t xml:space="preserve">. The level of concern in Turkey was </w:t>
      </w:r>
      <w:r w:rsidR="00331CB6">
        <w:rPr>
          <w:rFonts w:ascii="Segoe UI" w:hAnsi="Segoe UI" w:cs="Segoe UI"/>
          <w:sz w:val="20"/>
          <w:szCs w:val="20"/>
        </w:rPr>
        <w:t xml:space="preserve">generally </w:t>
      </w:r>
      <w:r>
        <w:rPr>
          <w:rFonts w:ascii="Segoe UI" w:hAnsi="Segoe UI" w:cs="Segoe UI"/>
          <w:sz w:val="20"/>
          <w:szCs w:val="20"/>
        </w:rPr>
        <w:t>higher for most risks when compared to international averages.</w:t>
      </w:r>
      <w:r w:rsidR="000D12BC">
        <w:rPr>
          <w:rFonts w:ascii="Segoe UI" w:hAnsi="Segoe UI" w:cs="Segoe UI"/>
          <w:sz w:val="20"/>
          <w:szCs w:val="20"/>
        </w:rPr>
        <w:t xml:space="preserve">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6AF06638" w:rsidR="00AB4812" w:rsidRDefault="00A029C7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Intrusive risks</w:t>
      </w:r>
      <w:r w:rsidR="00AB4BEE">
        <w:rPr>
          <w:rFonts w:ascii="Segoe UI" w:hAnsi="Segoe UI" w:cs="Segoe UI"/>
          <w:sz w:val="20"/>
          <w:szCs w:val="20"/>
        </w:rPr>
        <w:t xml:space="preserve"> </w:t>
      </w:r>
      <w:r w:rsidR="00A61C40">
        <w:rPr>
          <w:rFonts w:ascii="Segoe UI" w:hAnsi="Segoe UI" w:cs="Segoe UI"/>
          <w:sz w:val="20"/>
          <w:szCs w:val="20"/>
        </w:rPr>
        <w:t xml:space="preserve">were </w:t>
      </w:r>
      <w:r w:rsidR="00AA536A">
        <w:rPr>
          <w:rFonts w:ascii="Segoe UI" w:hAnsi="Segoe UI" w:cs="Segoe UI"/>
          <w:sz w:val="20"/>
          <w:szCs w:val="20"/>
        </w:rPr>
        <w:t xml:space="preserve">ranked </w:t>
      </w:r>
      <w:r w:rsidR="00A61C40">
        <w:rPr>
          <w:rFonts w:ascii="Segoe UI" w:hAnsi="Segoe UI" w:cs="Segoe UI"/>
          <w:sz w:val="20"/>
          <w:szCs w:val="20"/>
        </w:rPr>
        <w:t xml:space="preserve">the most </w:t>
      </w:r>
      <w:r w:rsidR="00AA536A">
        <w:rPr>
          <w:rFonts w:ascii="Segoe UI" w:hAnsi="Segoe UI" w:cs="Segoe UI"/>
          <w:sz w:val="20"/>
          <w:szCs w:val="20"/>
        </w:rPr>
        <w:t xml:space="preserve">worrisome </w:t>
      </w:r>
      <w:r w:rsidR="00A61C40">
        <w:rPr>
          <w:rFonts w:ascii="Segoe UI" w:hAnsi="Segoe UI" w:cs="Segoe UI"/>
          <w:sz w:val="20"/>
          <w:szCs w:val="20"/>
        </w:rPr>
        <w:t xml:space="preserve">in </w:t>
      </w:r>
      <w:r>
        <w:rPr>
          <w:rFonts w:ascii="Segoe UI" w:hAnsi="Segoe UI" w:cs="Segoe UI"/>
          <w:sz w:val="20"/>
          <w:szCs w:val="20"/>
        </w:rPr>
        <w:t>Turkey</w:t>
      </w:r>
      <w:r w:rsidR="00AA536A">
        <w:rPr>
          <w:rFonts w:ascii="Segoe UI" w:hAnsi="Segoe UI" w:cs="Segoe UI"/>
          <w:sz w:val="20"/>
          <w:szCs w:val="20"/>
        </w:rPr>
        <w:t xml:space="preserve"> outpacing</w:t>
      </w:r>
      <w:r w:rsidR="00A61C40">
        <w:rPr>
          <w:rFonts w:ascii="Segoe UI" w:hAnsi="Segoe UI" w:cs="Segoe UI"/>
          <w:sz w:val="20"/>
          <w:szCs w:val="20"/>
        </w:rPr>
        <w:t xml:space="preserve"> the international average </w:t>
      </w:r>
      <w:r w:rsidR="00AB4BEE">
        <w:rPr>
          <w:rFonts w:ascii="Segoe UI" w:hAnsi="Segoe UI" w:cs="Segoe UI"/>
          <w:sz w:val="20"/>
          <w:szCs w:val="20"/>
        </w:rPr>
        <w:t xml:space="preserve">by </w:t>
      </w:r>
      <w:r>
        <w:rPr>
          <w:rFonts w:ascii="Segoe UI" w:hAnsi="Segoe UI" w:cs="Segoe UI"/>
          <w:sz w:val="20"/>
          <w:szCs w:val="20"/>
        </w:rPr>
        <w:t>9-points</w:t>
      </w:r>
      <w:r w:rsidR="00331CB6">
        <w:rPr>
          <w:rFonts w:ascii="Segoe UI" w:hAnsi="Segoe UI" w:cs="Segoe UI"/>
          <w:sz w:val="20"/>
          <w:szCs w:val="20"/>
        </w:rPr>
        <w:t xml:space="preserve"> (65</w:t>
      </w:r>
      <w:r w:rsidR="00AB4BEE">
        <w:rPr>
          <w:rFonts w:ascii="Segoe UI" w:hAnsi="Segoe UI" w:cs="Segoe UI"/>
          <w:sz w:val="20"/>
          <w:szCs w:val="20"/>
        </w:rPr>
        <w:t xml:space="preserve">%, </w:t>
      </w:r>
      <w:r w:rsidR="00331CB6">
        <w:rPr>
          <w:rFonts w:ascii="Segoe UI" w:hAnsi="Segoe UI" w:cs="Segoe UI"/>
          <w:sz w:val="20"/>
          <w:szCs w:val="20"/>
        </w:rPr>
        <w:t>56</w:t>
      </w:r>
      <w:r w:rsidR="00AB4BEE">
        <w:rPr>
          <w:rFonts w:ascii="Segoe UI" w:hAnsi="Segoe UI" w:cs="Segoe UI"/>
          <w:sz w:val="20"/>
          <w:szCs w:val="20"/>
        </w:rPr>
        <w:t>%).</w:t>
      </w:r>
      <w:r w:rsidR="00AA536A">
        <w:rPr>
          <w:rFonts w:ascii="Segoe UI" w:hAnsi="Segoe UI" w:cs="Segoe UI"/>
          <w:sz w:val="20"/>
          <w:szCs w:val="20"/>
        </w:rPr>
        <w:t xml:space="preserve"> </w:t>
      </w:r>
      <w:r w:rsidR="00331CB6">
        <w:rPr>
          <w:rFonts w:ascii="Segoe UI" w:hAnsi="Segoe UI" w:cs="Segoe UI"/>
          <w:sz w:val="20"/>
          <w:szCs w:val="20"/>
        </w:rPr>
        <w:t>Concerns about Behavioral risks were nearly as strong driven by Cyberbullying (46%) and Online harassment (43%).</w:t>
      </w:r>
      <w:r w:rsidR="00AB4BEE">
        <w:rPr>
          <w:rFonts w:ascii="Segoe UI" w:hAnsi="Segoe UI" w:cs="Segoe UI"/>
          <w:sz w:val="20"/>
          <w:szCs w:val="20"/>
        </w:rPr>
        <w:t xml:space="preserve">   </w:t>
      </w:r>
    </w:p>
    <w:p w14:paraId="559EAA5C" w14:textId="79328335" w:rsidR="00CB5735" w:rsidRPr="00AB4812" w:rsidRDefault="00331CB6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Doxing (49</w:t>
      </w:r>
      <w:r w:rsidR="00AB4BEE">
        <w:rPr>
          <w:rFonts w:ascii="Segoe UI" w:hAnsi="Segoe UI" w:cs="Segoe UI"/>
          <w:sz w:val="20"/>
          <w:szCs w:val="20"/>
        </w:rPr>
        <w:t>%) was the most frequent</w:t>
      </w:r>
      <w:r w:rsidR="0095185B">
        <w:rPr>
          <w:rFonts w:ascii="Segoe UI" w:hAnsi="Segoe UI" w:cs="Segoe UI"/>
          <w:sz w:val="20"/>
          <w:szCs w:val="20"/>
        </w:rPr>
        <w:t>ly reported</w:t>
      </w:r>
      <w:r w:rsidR="00AB4BEE">
        <w:rPr>
          <w:rFonts w:ascii="Segoe UI" w:hAnsi="Segoe UI" w:cs="Segoe UI"/>
          <w:sz w:val="20"/>
          <w:szCs w:val="20"/>
        </w:rPr>
        <w:t xml:space="preserve"> </w:t>
      </w:r>
      <w:r w:rsidR="00DD3898">
        <w:rPr>
          <w:rFonts w:ascii="Segoe UI" w:hAnsi="Segoe UI" w:cs="Segoe UI"/>
          <w:sz w:val="20"/>
          <w:szCs w:val="20"/>
        </w:rPr>
        <w:t>concern</w:t>
      </w:r>
      <w:r w:rsidR="00AB4BEE">
        <w:rPr>
          <w:rFonts w:ascii="Segoe UI" w:hAnsi="Segoe UI" w:cs="Segoe UI"/>
          <w:sz w:val="20"/>
          <w:szCs w:val="20"/>
        </w:rPr>
        <w:t xml:space="preserve"> in </w:t>
      </w:r>
      <w:r>
        <w:rPr>
          <w:rFonts w:ascii="Segoe UI" w:hAnsi="Segoe UI" w:cs="Segoe UI"/>
          <w:sz w:val="20"/>
          <w:szCs w:val="20"/>
        </w:rPr>
        <w:t>Turkey followed closely by Cyberbullying (46%) and Unwanted contact (45%).</w:t>
      </w:r>
    </w:p>
    <w:p w14:paraId="740352AD" w14:textId="6851B680" w:rsidR="00AB4812" w:rsidRPr="00AB4812" w:rsidRDefault="00331CB6" w:rsidP="00331CB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Risks </w:t>
      </w:r>
      <w:r w:rsidR="00C2299C">
        <w:rPr>
          <w:rFonts w:ascii="Segoe UI" w:hAnsi="Segoe UI" w:cs="Segoe UI"/>
          <w:sz w:val="20"/>
          <w:szCs w:val="20"/>
        </w:rPr>
        <w:t xml:space="preserve">that had </w:t>
      </w:r>
      <w:r>
        <w:rPr>
          <w:rFonts w:ascii="Segoe UI" w:hAnsi="Segoe UI" w:cs="Segoe UI"/>
          <w:sz w:val="20"/>
          <w:szCs w:val="20"/>
        </w:rPr>
        <w:t>t</w:t>
      </w:r>
      <w:r w:rsidRPr="00331CB6">
        <w:rPr>
          <w:rFonts w:ascii="Segoe UI" w:hAnsi="Segoe UI" w:cs="Segoe UI"/>
          <w:sz w:val="20"/>
          <w:szCs w:val="20"/>
        </w:rPr>
        <w:t xml:space="preserve">he largest gaps with international incidence rates were </w:t>
      </w:r>
      <w:r>
        <w:rPr>
          <w:rFonts w:ascii="Segoe UI" w:hAnsi="Segoe UI" w:cs="Segoe UI"/>
          <w:sz w:val="20"/>
          <w:szCs w:val="20"/>
        </w:rPr>
        <w:t>Unwanted contact (+11</w:t>
      </w:r>
      <w:r w:rsidR="00C2299C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and Unwanted sexting (received or sent, +10). </w:t>
      </w: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5ABA469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7F2CDA5E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53785ADD" w:rsidR="00C66A0E" w:rsidRDefault="0074017B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Nearly four in ten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713D743D" w:rsidR="00BF5800" w:rsidRPr="00C12BD1" w:rsidRDefault="00705111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37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 xml:space="preserve">Turkish consumers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2AA696B3" w:rsidR="00BF5800" w:rsidRPr="00C12BD1" w:rsidRDefault="001A3839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705111">
        <w:rPr>
          <w:rFonts w:ascii="Segoe UI" w:hAnsi="Segoe UI" w:cs="Segoe UI"/>
          <w:sz w:val="20"/>
          <w:szCs w:val="20"/>
        </w:rPr>
        <w:t>0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 which </w:t>
      </w:r>
      <w:r w:rsidR="00AD263F">
        <w:rPr>
          <w:rFonts w:ascii="Segoe UI" w:hAnsi="Segoe UI" w:cs="Segoe UI"/>
          <w:sz w:val="20"/>
          <w:szCs w:val="20"/>
        </w:rPr>
        <w:t xml:space="preserve">mirrored </w:t>
      </w:r>
      <w:r w:rsidR="00FC5B57">
        <w:rPr>
          <w:rFonts w:ascii="Segoe UI" w:hAnsi="Segoe UI" w:cs="Segoe UI"/>
          <w:sz w:val="20"/>
          <w:szCs w:val="20"/>
        </w:rPr>
        <w:t>international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7C3E879A" w:rsidR="00F17F51" w:rsidRPr="00BB7986" w:rsidRDefault="00E86B15" w:rsidP="00C622C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766784" behindDoc="0" locked="0" layoutInCell="1" allowOverlap="1" wp14:anchorId="5F26B50E" wp14:editId="09E0B85B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6583680" cy="1609344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63F">
        <w:rPr>
          <w:rFonts w:ascii="Segoe UI" w:hAnsi="Segoe UI" w:cs="Segoe UI"/>
          <w:sz w:val="20"/>
          <w:szCs w:val="20"/>
        </w:rPr>
        <w:t>22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7936EF">
        <w:rPr>
          <w:rFonts w:ascii="Segoe UI" w:hAnsi="Segoe UI" w:cs="Segoe UI"/>
          <w:sz w:val="20"/>
          <w:szCs w:val="20"/>
        </w:rPr>
        <w:t>, twice the international rate (1</w:t>
      </w:r>
      <w:r w:rsidR="00AD15FA">
        <w:rPr>
          <w:rFonts w:ascii="Segoe UI" w:hAnsi="Segoe UI" w:cs="Segoe UI"/>
          <w:sz w:val="20"/>
          <w:szCs w:val="20"/>
        </w:rPr>
        <w:t>1</w:t>
      </w:r>
      <w:r w:rsidR="00FC5B57">
        <w:rPr>
          <w:rFonts w:ascii="Segoe UI" w:hAnsi="Segoe UI" w:cs="Segoe UI"/>
          <w:sz w:val="20"/>
          <w:szCs w:val="20"/>
        </w:rPr>
        <w:t>%</w:t>
      </w:r>
      <w:r w:rsidR="007936EF">
        <w:rPr>
          <w:rFonts w:ascii="Segoe UI" w:hAnsi="Segoe UI" w:cs="Segoe UI"/>
          <w:sz w:val="20"/>
          <w:szCs w:val="20"/>
        </w:rPr>
        <w:t>)</w:t>
      </w:r>
      <w:r w:rsidR="00E83BE1">
        <w:rPr>
          <w:rFonts w:ascii="Segoe UI" w:hAnsi="Segoe UI" w:cs="Segoe UI"/>
          <w:sz w:val="20"/>
          <w:szCs w:val="20"/>
        </w:rPr>
        <w:t>.</w:t>
      </w:r>
      <w:r w:rsidR="005B7CF2" w:rsidRPr="005B7CF2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39D96B2E" w14:textId="299A2E9F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3C17E950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E92D3" w14:textId="75A8D715" w:rsidR="00D130F8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404C06">
        <w:rPr>
          <w:rFonts w:ascii="Segoe UI" w:hAnsi="Segoe UI" w:cs="Segoe UI"/>
          <w:sz w:val="20"/>
          <w:szCs w:val="20"/>
        </w:rPr>
        <w:t xml:space="preserve"> (144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404C06">
        <w:rPr>
          <w:rFonts w:ascii="Segoe UI" w:hAnsi="Segoe UI" w:cs="Segoe UI"/>
          <w:sz w:val="20"/>
          <w:szCs w:val="20"/>
        </w:rPr>
        <w:t>133</w:t>
      </w:r>
      <w:r w:rsidR="00B40FC1">
        <w:rPr>
          <w:rFonts w:ascii="Segoe UI" w:hAnsi="Segoe UI" w:cs="Segoe UI"/>
          <w:sz w:val="20"/>
          <w:szCs w:val="20"/>
        </w:rPr>
        <w:t>)</w:t>
      </w:r>
      <w:r w:rsidR="00562927">
        <w:rPr>
          <w:rFonts w:ascii="Segoe UI" w:hAnsi="Segoe UI" w:cs="Segoe UI"/>
          <w:sz w:val="20"/>
          <w:szCs w:val="20"/>
        </w:rPr>
        <w:t>.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 </w:t>
      </w:r>
      <w:r w:rsidR="00404C06" w:rsidRPr="00404C06">
        <w:rPr>
          <w:rFonts w:ascii="Segoe UI" w:hAnsi="Segoe UI" w:cs="Segoe UI"/>
          <w:sz w:val="20"/>
          <w:szCs w:val="20"/>
        </w:rPr>
        <w:t>Higher interaction levels by youth did not translate into higher rates of online risk (</w:t>
      </w:r>
      <w:r w:rsidR="00562927">
        <w:rPr>
          <w:rFonts w:ascii="Segoe UI" w:hAnsi="Segoe UI" w:cs="Segoe UI"/>
          <w:sz w:val="20"/>
          <w:szCs w:val="20"/>
        </w:rPr>
        <w:t xml:space="preserve">68%, </w:t>
      </w:r>
      <w:r w:rsidR="00404C06" w:rsidRPr="00404C06">
        <w:rPr>
          <w:rFonts w:ascii="Segoe UI" w:hAnsi="Segoe UI" w:cs="Segoe UI"/>
          <w:sz w:val="20"/>
          <w:szCs w:val="20"/>
        </w:rPr>
        <w:t xml:space="preserve">73%). </w:t>
      </w:r>
      <w:r w:rsidR="00562927">
        <w:rPr>
          <w:rFonts w:ascii="Segoe UI" w:hAnsi="Segoe UI" w:cs="Segoe UI"/>
          <w:sz w:val="20"/>
          <w:szCs w:val="20"/>
        </w:rPr>
        <w:t>Youth showed higher rates of exposure for Behavioral risks (57%, 52%) but adults led on the other three risk categories – especially Sexual risks (42%, 18%).</w:t>
      </w:r>
    </w:p>
    <w:p w14:paraId="2BC11ED7" w14:textId="6391097A" w:rsidR="00716C2B" w:rsidRDefault="00716C2B" w:rsidP="007D01C8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>Youth were less confident than adults in managing uncivil behavior, (4</w:t>
      </w:r>
      <w:r w:rsidR="00F35DE6">
        <w:rPr>
          <w:rFonts w:ascii="Segoe UI" w:hAnsi="Segoe UI" w:cs="Segoe UI"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7804D8">
        <w:rPr>
          <w:rFonts w:ascii="Segoe UI" w:hAnsi="Segoe UI" w:cs="Segoe UI"/>
          <w:sz w:val="20"/>
          <w:szCs w:val="20"/>
        </w:rPr>
        <w:t>5</w:t>
      </w:r>
      <w:r w:rsidR="00F35DE6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%) but youth were </w:t>
      </w:r>
      <w:r w:rsidR="007804D8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 xml:space="preserve">ore </w:t>
      </w:r>
      <w:r w:rsidR="00A03B2F">
        <w:rPr>
          <w:rFonts w:ascii="Segoe UI" w:hAnsi="Segoe UI" w:cs="Segoe UI"/>
          <w:sz w:val="20"/>
          <w:szCs w:val="20"/>
        </w:rPr>
        <w:t>knowledgeable about</w:t>
      </w:r>
      <w:r>
        <w:rPr>
          <w:rFonts w:ascii="Segoe UI" w:hAnsi="Segoe UI" w:cs="Segoe UI"/>
          <w:sz w:val="20"/>
          <w:szCs w:val="20"/>
        </w:rPr>
        <w:t xml:space="preserve"> where to get help (4</w:t>
      </w:r>
      <w:r w:rsidR="00F35DE6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7804D8">
        <w:rPr>
          <w:rFonts w:ascii="Segoe UI" w:hAnsi="Segoe UI" w:cs="Segoe UI"/>
          <w:sz w:val="20"/>
          <w:szCs w:val="20"/>
        </w:rPr>
        <w:t>3</w:t>
      </w:r>
      <w:r w:rsidR="00F35DE6">
        <w:rPr>
          <w:rFonts w:ascii="Segoe UI" w:hAnsi="Segoe UI" w:cs="Segoe UI"/>
          <w:sz w:val="20"/>
          <w:szCs w:val="20"/>
        </w:rPr>
        <w:t>5%)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7D01C8" w:rsidRPr="007D01C8">
        <w:rPr>
          <w:rFonts w:ascii="Segoe UI" w:hAnsi="Segoe UI" w:cs="Segoe UI"/>
          <w:sz w:val="20"/>
          <w:szCs w:val="20"/>
        </w:rPr>
        <w:t>T</w:t>
      </w:r>
      <w:r w:rsidR="007D01C8">
        <w:rPr>
          <w:rFonts w:ascii="Segoe UI" w:hAnsi="Segoe UI" w:cs="Segoe UI"/>
          <w:sz w:val="20"/>
          <w:szCs w:val="20"/>
        </w:rPr>
        <w:t xml:space="preserve">here were few significant differences by gender. Males reported higher overall concern about risk exposure than females (58%, 50%). Males were more pessimistic about the outlook for personal safety than females (122, 112). </w:t>
      </w:r>
    </w:p>
    <w:p w14:paraId="56AEA64F" w14:textId="64652D87" w:rsidR="00716C2B" w:rsidRPr="003863D0" w:rsidRDefault="007D01C8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D01C8">
        <w:rPr>
          <w:noProof/>
        </w:rPr>
        <w:drawing>
          <wp:anchor distT="0" distB="0" distL="114300" distR="114300" simplePos="0" relativeHeight="251770880" behindDoc="0" locked="0" layoutInCell="1" allowOverlap="1" wp14:anchorId="3B4CFFFA" wp14:editId="12C3E676">
            <wp:simplePos x="0" y="0"/>
            <wp:positionH relativeFrom="column">
              <wp:posOffset>3703320</wp:posOffset>
            </wp:positionH>
            <wp:positionV relativeFrom="paragraph">
              <wp:posOffset>487680</wp:posOffset>
            </wp:positionV>
            <wp:extent cx="3392170" cy="22948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C06" w:rsidRPr="00404C06">
        <w:rPr>
          <w:noProof/>
        </w:rPr>
        <w:drawing>
          <wp:anchor distT="0" distB="0" distL="114300" distR="114300" simplePos="0" relativeHeight="251769856" behindDoc="0" locked="0" layoutInCell="1" allowOverlap="1" wp14:anchorId="115A8ED0" wp14:editId="63428D29">
            <wp:simplePos x="0" y="0"/>
            <wp:positionH relativeFrom="column">
              <wp:posOffset>60960</wp:posOffset>
            </wp:positionH>
            <wp:positionV relativeFrom="paragraph">
              <wp:posOffset>469900</wp:posOffset>
            </wp:positionV>
            <wp:extent cx="3392170" cy="2459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1C8">
        <w:rPr>
          <w:rFonts w:ascii="Segoe UI" w:hAnsi="Segoe UI" w:cs="Segoe UI"/>
          <w:sz w:val="20"/>
          <w:szCs w:val="20"/>
        </w:rPr>
        <w:t xml:space="preserve"> </w:t>
      </w:r>
      <w:r w:rsidR="00404C06" w:rsidRPr="00404C06">
        <w:rPr>
          <w:rFonts w:ascii="Segoe UI" w:hAnsi="Segoe UI" w:cs="Segoe UI"/>
          <w:sz w:val="20"/>
          <w:szCs w:val="20"/>
        </w:rPr>
        <w:t xml:space="preserve"> </w:t>
      </w: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1CA3" w14:textId="77777777" w:rsidR="00280AE7" w:rsidRDefault="00280AE7" w:rsidP="00E36286">
      <w:pPr>
        <w:spacing w:after="0" w:line="240" w:lineRule="auto"/>
      </w:pPr>
      <w:r>
        <w:separator/>
      </w:r>
    </w:p>
  </w:endnote>
  <w:endnote w:type="continuationSeparator" w:id="0">
    <w:p w14:paraId="0105DD46" w14:textId="77777777" w:rsidR="00280AE7" w:rsidRDefault="00280AE7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4BDFE5BA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FB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10C2" w14:textId="77777777" w:rsidR="00280AE7" w:rsidRDefault="00280AE7" w:rsidP="00E36286">
      <w:pPr>
        <w:spacing w:after="0" w:line="240" w:lineRule="auto"/>
      </w:pPr>
      <w:r>
        <w:separator/>
      </w:r>
    </w:p>
  </w:footnote>
  <w:footnote w:type="continuationSeparator" w:id="0">
    <w:p w14:paraId="6EB72FA6" w14:textId="77777777" w:rsidR="00280AE7" w:rsidRDefault="00280AE7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.5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26A6C"/>
    <w:rsid w:val="000336F3"/>
    <w:rsid w:val="0004561C"/>
    <w:rsid w:val="00056C88"/>
    <w:rsid w:val="0005731D"/>
    <w:rsid w:val="00057604"/>
    <w:rsid w:val="000718F8"/>
    <w:rsid w:val="00075F45"/>
    <w:rsid w:val="000769CC"/>
    <w:rsid w:val="000773EC"/>
    <w:rsid w:val="00077835"/>
    <w:rsid w:val="000816D8"/>
    <w:rsid w:val="0008253F"/>
    <w:rsid w:val="0009486D"/>
    <w:rsid w:val="00095E0A"/>
    <w:rsid w:val="000971D7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04AC9"/>
    <w:rsid w:val="00113912"/>
    <w:rsid w:val="001142EF"/>
    <w:rsid w:val="001162A8"/>
    <w:rsid w:val="00116AC7"/>
    <w:rsid w:val="001204AA"/>
    <w:rsid w:val="00120A06"/>
    <w:rsid w:val="001413D2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A3839"/>
    <w:rsid w:val="001B7A17"/>
    <w:rsid w:val="001B7DF2"/>
    <w:rsid w:val="001C2075"/>
    <w:rsid w:val="001C2148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29B9"/>
    <w:rsid w:val="00217AD8"/>
    <w:rsid w:val="002253DB"/>
    <w:rsid w:val="00230CCF"/>
    <w:rsid w:val="00236FFF"/>
    <w:rsid w:val="00244A86"/>
    <w:rsid w:val="00246815"/>
    <w:rsid w:val="00252D79"/>
    <w:rsid w:val="002543B0"/>
    <w:rsid w:val="00270FD6"/>
    <w:rsid w:val="00280AE7"/>
    <w:rsid w:val="002A288C"/>
    <w:rsid w:val="002A4530"/>
    <w:rsid w:val="002A67B7"/>
    <w:rsid w:val="002B2C41"/>
    <w:rsid w:val="002B2C6D"/>
    <w:rsid w:val="002B63B1"/>
    <w:rsid w:val="002B733D"/>
    <w:rsid w:val="002C1351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1CB6"/>
    <w:rsid w:val="0033390D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4E40"/>
    <w:rsid w:val="003656A1"/>
    <w:rsid w:val="00365D57"/>
    <w:rsid w:val="003717A6"/>
    <w:rsid w:val="00371E9C"/>
    <w:rsid w:val="0037561D"/>
    <w:rsid w:val="00385A2B"/>
    <w:rsid w:val="003863D0"/>
    <w:rsid w:val="00390DD1"/>
    <w:rsid w:val="003A7A74"/>
    <w:rsid w:val="003B1776"/>
    <w:rsid w:val="003B1AB3"/>
    <w:rsid w:val="003B3C9D"/>
    <w:rsid w:val="003B4EB5"/>
    <w:rsid w:val="003C0AA3"/>
    <w:rsid w:val="003C45C9"/>
    <w:rsid w:val="003C5762"/>
    <w:rsid w:val="003C5B56"/>
    <w:rsid w:val="003C5C32"/>
    <w:rsid w:val="003C71AA"/>
    <w:rsid w:val="003D79AF"/>
    <w:rsid w:val="003E1029"/>
    <w:rsid w:val="003E30EF"/>
    <w:rsid w:val="003E3604"/>
    <w:rsid w:val="003E72A8"/>
    <w:rsid w:val="003F5DA1"/>
    <w:rsid w:val="003F739E"/>
    <w:rsid w:val="00401D8C"/>
    <w:rsid w:val="00404C06"/>
    <w:rsid w:val="00407CA3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67E4F"/>
    <w:rsid w:val="004726D6"/>
    <w:rsid w:val="0047282D"/>
    <w:rsid w:val="004848DF"/>
    <w:rsid w:val="00485BF4"/>
    <w:rsid w:val="004A342D"/>
    <w:rsid w:val="004A4F7E"/>
    <w:rsid w:val="004B0BBF"/>
    <w:rsid w:val="004C084C"/>
    <w:rsid w:val="004C3DA0"/>
    <w:rsid w:val="004C78EF"/>
    <w:rsid w:val="004D1077"/>
    <w:rsid w:val="004D3C06"/>
    <w:rsid w:val="004E0D51"/>
    <w:rsid w:val="004E4982"/>
    <w:rsid w:val="004E5379"/>
    <w:rsid w:val="004F13F8"/>
    <w:rsid w:val="004F470F"/>
    <w:rsid w:val="00503AF8"/>
    <w:rsid w:val="00525DA5"/>
    <w:rsid w:val="00527718"/>
    <w:rsid w:val="005309C7"/>
    <w:rsid w:val="005343DB"/>
    <w:rsid w:val="00534E0A"/>
    <w:rsid w:val="00535E51"/>
    <w:rsid w:val="00541FC3"/>
    <w:rsid w:val="00542F1F"/>
    <w:rsid w:val="00552A1D"/>
    <w:rsid w:val="00553AC8"/>
    <w:rsid w:val="00554207"/>
    <w:rsid w:val="005627AD"/>
    <w:rsid w:val="00562927"/>
    <w:rsid w:val="005659CF"/>
    <w:rsid w:val="005715A2"/>
    <w:rsid w:val="005730BA"/>
    <w:rsid w:val="00582DDF"/>
    <w:rsid w:val="005840B3"/>
    <w:rsid w:val="00585231"/>
    <w:rsid w:val="005869E7"/>
    <w:rsid w:val="00587B97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B7CF2"/>
    <w:rsid w:val="005C01B5"/>
    <w:rsid w:val="005C1C1F"/>
    <w:rsid w:val="005C7EB5"/>
    <w:rsid w:val="005D38E5"/>
    <w:rsid w:val="005D78B5"/>
    <w:rsid w:val="005E2A61"/>
    <w:rsid w:val="005F2142"/>
    <w:rsid w:val="005F2D70"/>
    <w:rsid w:val="005F5479"/>
    <w:rsid w:val="005F5B2A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1FC8"/>
    <w:rsid w:val="006F464C"/>
    <w:rsid w:val="006F75B0"/>
    <w:rsid w:val="007009E5"/>
    <w:rsid w:val="00705111"/>
    <w:rsid w:val="007066F1"/>
    <w:rsid w:val="00711186"/>
    <w:rsid w:val="007119B6"/>
    <w:rsid w:val="00716C2B"/>
    <w:rsid w:val="00717BB6"/>
    <w:rsid w:val="00722139"/>
    <w:rsid w:val="007242A3"/>
    <w:rsid w:val="00726DEC"/>
    <w:rsid w:val="0072738F"/>
    <w:rsid w:val="00727A22"/>
    <w:rsid w:val="00735985"/>
    <w:rsid w:val="0074017B"/>
    <w:rsid w:val="00742381"/>
    <w:rsid w:val="007444B5"/>
    <w:rsid w:val="007458A7"/>
    <w:rsid w:val="007461F5"/>
    <w:rsid w:val="007569ED"/>
    <w:rsid w:val="007724C4"/>
    <w:rsid w:val="0077280B"/>
    <w:rsid w:val="00773CB5"/>
    <w:rsid w:val="00775661"/>
    <w:rsid w:val="007804D8"/>
    <w:rsid w:val="00781EA8"/>
    <w:rsid w:val="00784998"/>
    <w:rsid w:val="00785FEA"/>
    <w:rsid w:val="007902D6"/>
    <w:rsid w:val="00791065"/>
    <w:rsid w:val="007936EF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493"/>
    <w:rsid w:val="007C5AB6"/>
    <w:rsid w:val="007D01C8"/>
    <w:rsid w:val="007D1968"/>
    <w:rsid w:val="007D5E2F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0FB7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0B12"/>
    <w:rsid w:val="008939A4"/>
    <w:rsid w:val="00897ED2"/>
    <w:rsid w:val="008A37C8"/>
    <w:rsid w:val="008A3E72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E4414"/>
    <w:rsid w:val="008F1475"/>
    <w:rsid w:val="008F4989"/>
    <w:rsid w:val="008F4E12"/>
    <w:rsid w:val="00901FA8"/>
    <w:rsid w:val="00911A62"/>
    <w:rsid w:val="009128FD"/>
    <w:rsid w:val="00914459"/>
    <w:rsid w:val="00917A34"/>
    <w:rsid w:val="00920155"/>
    <w:rsid w:val="009203CB"/>
    <w:rsid w:val="00921350"/>
    <w:rsid w:val="009216CB"/>
    <w:rsid w:val="00924176"/>
    <w:rsid w:val="009259A4"/>
    <w:rsid w:val="009300FC"/>
    <w:rsid w:val="00930817"/>
    <w:rsid w:val="0093151C"/>
    <w:rsid w:val="0094038B"/>
    <w:rsid w:val="00941E6C"/>
    <w:rsid w:val="0095185B"/>
    <w:rsid w:val="00951A0D"/>
    <w:rsid w:val="00952413"/>
    <w:rsid w:val="009545D7"/>
    <w:rsid w:val="00955FF1"/>
    <w:rsid w:val="00956052"/>
    <w:rsid w:val="00957EB5"/>
    <w:rsid w:val="009602E8"/>
    <w:rsid w:val="009715DE"/>
    <w:rsid w:val="00971D1E"/>
    <w:rsid w:val="009777F5"/>
    <w:rsid w:val="009807AE"/>
    <w:rsid w:val="00992057"/>
    <w:rsid w:val="00997F73"/>
    <w:rsid w:val="009A0800"/>
    <w:rsid w:val="009A24A8"/>
    <w:rsid w:val="009A452F"/>
    <w:rsid w:val="009C3AF6"/>
    <w:rsid w:val="009C7C58"/>
    <w:rsid w:val="009E4D18"/>
    <w:rsid w:val="009E56FC"/>
    <w:rsid w:val="009F1C11"/>
    <w:rsid w:val="009F5123"/>
    <w:rsid w:val="009F72B6"/>
    <w:rsid w:val="00A003F7"/>
    <w:rsid w:val="00A029C7"/>
    <w:rsid w:val="00A03B2F"/>
    <w:rsid w:val="00A04953"/>
    <w:rsid w:val="00A05B53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52427"/>
    <w:rsid w:val="00A527DD"/>
    <w:rsid w:val="00A56D1D"/>
    <w:rsid w:val="00A61468"/>
    <w:rsid w:val="00A61C40"/>
    <w:rsid w:val="00A649EF"/>
    <w:rsid w:val="00A72858"/>
    <w:rsid w:val="00A8175E"/>
    <w:rsid w:val="00A8657B"/>
    <w:rsid w:val="00AA0953"/>
    <w:rsid w:val="00AA20C0"/>
    <w:rsid w:val="00AA25F5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263F"/>
    <w:rsid w:val="00AD473C"/>
    <w:rsid w:val="00AD6E2F"/>
    <w:rsid w:val="00AE3901"/>
    <w:rsid w:val="00AE3AE8"/>
    <w:rsid w:val="00AE3CC6"/>
    <w:rsid w:val="00AE4328"/>
    <w:rsid w:val="00AE63F9"/>
    <w:rsid w:val="00AF4357"/>
    <w:rsid w:val="00AF4CFF"/>
    <w:rsid w:val="00AF6842"/>
    <w:rsid w:val="00AF7CD3"/>
    <w:rsid w:val="00B02E86"/>
    <w:rsid w:val="00B035C4"/>
    <w:rsid w:val="00B03F5C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E4"/>
    <w:rsid w:val="00B8335B"/>
    <w:rsid w:val="00B84F04"/>
    <w:rsid w:val="00B9077E"/>
    <w:rsid w:val="00B92079"/>
    <w:rsid w:val="00B96CD4"/>
    <w:rsid w:val="00BA4A04"/>
    <w:rsid w:val="00BB7986"/>
    <w:rsid w:val="00BC1DE4"/>
    <w:rsid w:val="00BC3ECA"/>
    <w:rsid w:val="00BD0DA1"/>
    <w:rsid w:val="00BD15F8"/>
    <w:rsid w:val="00BD1E70"/>
    <w:rsid w:val="00BD1EF0"/>
    <w:rsid w:val="00BD29F5"/>
    <w:rsid w:val="00BD495E"/>
    <w:rsid w:val="00BD5909"/>
    <w:rsid w:val="00BD74DC"/>
    <w:rsid w:val="00BF0624"/>
    <w:rsid w:val="00BF5800"/>
    <w:rsid w:val="00C00B43"/>
    <w:rsid w:val="00C0631E"/>
    <w:rsid w:val="00C06F0D"/>
    <w:rsid w:val="00C078BD"/>
    <w:rsid w:val="00C12BD1"/>
    <w:rsid w:val="00C20775"/>
    <w:rsid w:val="00C2299C"/>
    <w:rsid w:val="00C25D9A"/>
    <w:rsid w:val="00C26CEA"/>
    <w:rsid w:val="00C305D8"/>
    <w:rsid w:val="00C31158"/>
    <w:rsid w:val="00C35EBF"/>
    <w:rsid w:val="00C408CB"/>
    <w:rsid w:val="00C535AE"/>
    <w:rsid w:val="00C54023"/>
    <w:rsid w:val="00C554EC"/>
    <w:rsid w:val="00C57F73"/>
    <w:rsid w:val="00C622C1"/>
    <w:rsid w:val="00C6580E"/>
    <w:rsid w:val="00C65AF4"/>
    <w:rsid w:val="00C662C4"/>
    <w:rsid w:val="00C66758"/>
    <w:rsid w:val="00C66A0E"/>
    <w:rsid w:val="00C7615B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237F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74DF"/>
    <w:rsid w:val="00D3002D"/>
    <w:rsid w:val="00D363F7"/>
    <w:rsid w:val="00D36725"/>
    <w:rsid w:val="00D37935"/>
    <w:rsid w:val="00D4265B"/>
    <w:rsid w:val="00D43591"/>
    <w:rsid w:val="00D5134E"/>
    <w:rsid w:val="00D54599"/>
    <w:rsid w:val="00D5679E"/>
    <w:rsid w:val="00D62561"/>
    <w:rsid w:val="00D65822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2A95"/>
    <w:rsid w:val="00DA7912"/>
    <w:rsid w:val="00DB0A92"/>
    <w:rsid w:val="00DB0C59"/>
    <w:rsid w:val="00DB21FD"/>
    <w:rsid w:val="00DB232F"/>
    <w:rsid w:val="00DB2BC9"/>
    <w:rsid w:val="00DB3A9E"/>
    <w:rsid w:val="00DB402B"/>
    <w:rsid w:val="00DC1E61"/>
    <w:rsid w:val="00DC3781"/>
    <w:rsid w:val="00DC3B42"/>
    <w:rsid w:val="00DC42E2"/>
    <w:rsid w:val="00DC44AA"/>
    <w:rsid w:val="00DC6BE2"/>
    <w:rsid w:val="00DD3898"/>
    <w:rsid w:val="00DD7757"/>
    <w:rsid w:val="00DE02A8"/>
    <w:rsid w:val="00DE151B"/>
    <w:rsid w:val="00DE1696"/>
    <w:rsid w:val="00DE1D72"/>
    <w:rsid w:val="00DE4079"/>
    <w:rsid w:val="00DE4580"/>
    <w:rsid w:val="00DE70E0"/>
    <w:rsid w:val="00DF509C"/>
    <w:rsid w:val="00E01B6B"/>
    <w:rsid w:val="00E0435D"/>
    <w:rsid w:val="00E0500A"/>
    <w:rsid w:val="00E058F1"/>
    <w:rsid w:val="00E05C99"/>
    <w:rsid w:val="00E06D0C"/>
    <w:rsid w:val="00E21BF2"/>
    <w:rsid w:val="00E263EE"/>
    <w:rsid w:val="00E267EE"/>
    <w:rsid w:val="00E34B61"/>
    <w:rsid w:val="00E36286"/>
    <w:rsid w:val="00E4698F"/>
    <w:rsid w:val="00E7456B"/>
    <w:rsid w:val="00E751FE"/>
    <w:rsid w:val="00E76C94"/>
    <w:rsid w:val="00E76F53"/>
    <w:rsid w:val="00E773BA"/>
    <w:rsid w:val="00E7750D"/>
    <w:rsid w:val="00E802F0"/>
    <w:rsid w:val="00E83BE1"/>
    <w:rsid w:val="00E86B15"/>
    <w:rsid w:val="00E87DB7"/>
    <w:rsid w:val="00E95FB5"/>
    <w:rsid w:val="00E95FCB"/>
    <w:rsid w:val="00EA2A64"/>
    <w:rsid w:val="00EB33A1"/>
    <w:rsid w:val="00EB6B2C"/>
    <w:rsid w:val="00EC4A9A"/>
    <w:rsid w:val="00EC6F8B"/>
    <w:rsid w:val="00EC709F"/>
    <w:rsid w:val="00EC7164"/>
    <w:rsid w:val="00EC7DA1"/>
    <w:rsid w:val="00ED2D71"/>
    <w:rsid w:val="00ED34D6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6F02"/>
    <w:rsid w:val="00F07BAC"/>
    <w:rsid w:val="00F114E9"/>
    <w:rsid w:val="00F1151F"/>
    <w:rsid w:val="00F128BC"/>
    <w:rsid w:val="00F17EA4"/>
    <w:rsid w:val="00F17F51"/>
    <w:rsid w:val="00F2682E"/>
    <w:rsid w:val="00F30298"/>
    <w:rsid w:val="00F31F01"/>
    <w:rsid w:val="00F33E00"/>
    <w:rsid w:val="00F350B0"/>
    <w:rsid w:val="00F35DE6"/>
    <w:rsid w:val="00F3704E"/>
    <w:rsid w:val="00F37ACE"/>
    <w:rsid w:val="00F42899"/>
    <w:rsid w:val="00F45018"/>
    <w:rsid w:val="00F458C0"/>
    <w:rsid w:val="00F501FD"/>
    <w:rsid w:val="00F55C4D"/>
    <w:rsid w:val="00F60061"/>
    <w:rsid w:val="00F67F2D"/>
    <w:rsid w:val="00F701B9"/>
    <w:rsid w:val="00F74E84"/>
    <w:rsid w:val="00F768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324"/>
    <w:rsid w:val="00FB0D8A"/>
    <w:rsid w:val="00FB0E25"/>
    <w:rsid w:val="00FB3F61"/>
    <w:rsid w:val="00FB4FA2"/>
    <w:rsid w:val="00FC118E"/>
    <w:rsid w:val="00FC31A5"/>
    <w:rsid w:val="00FC5B57"/>
    <w:rsid w:val="00FD2FFA"/>
    <w:rsid w:val="00FD3479"/>
    <w:rsid w:val="00FD3F32"/>
    <w:rsid w:val="00FE046A"/>
    <w:rsid w:val="00FE1921"/>
    <w:rsid w:val="00FE2442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FCF-1CEA-43FF-B29A-6DEF810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2017-01-03T18:12:00Z</dcterms:created>
  <dcterms:modified xsi:type="dcterms:W3CDTF">2017-01-03T18:12:00Z</dcterms:modified>
</cp:coreProperties>
</file>